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2EC" w:rsidRPr="00F252DE" w:rsidRDefault="007C12EC" w:rsidP="007C12EC">
      <w:pPr>
        <w:spacing w:after="0" w:line="240" w:lineRule="auto"/>
        <w:jc w:val="both"/>
        <w:rPr>
          <w:rFonts w:ascii="Century Gothic" w:hAnsi="Century Gothic"/>
          <w:sz w:val="20"/>
          <w:szCs w:val="20"/>
        </w:rPr>
      </w:pPr>
      <w:r w:rsidRPr="00F252DE">
        <w:rPr>
          <w:rFonts w:ascii="Century Gothic" w:hAnsi="Century Gothic"/>
          <w:sz w:val="20"/>
          <w:szCs w:val="20"/>
        </w:rPr>
        <w:t xml:space="preserve">Oficio No. </w:t>
      </w:r>
      <w:r w:rsidRPr="00F252DE">
        <w:rPr>
          <w:rFonts w:ascii="Century Gothic" w:hAnsi="Century Gothic"/>
          <w:b/>
          <w:sz w:val="20"/>
          <w:szCs w:val="20"/>
        </w:rPr>
        <w:t>01</w:t>
      </w:r>
      <w:r w:rsidR="00DA5615" w:rsidRPr="00F252DE">
        <w:rPr>
          <w:rFonts w:ascii="Century Gothic" w:hAnsi="Century Gothic"/>
          <w:b/>
          <w:sz w:val="20"/>
          <w:szCs w:val="20"/>
        </w:rPr>
        <w:t>9</w:t>
      </w:r>
      <w:r w:rsidR="00194781">
        <w:rPr>
          <w:rFonts w:ascii="Century Gothic" w:hAnsi="Century Gothic"/>
          <w:b/>
          <w:sz w:val="20"/>
          <w:szCs w:val="20"/>
        </w:rPr>
        <w:t>6</w:t>
      </w:r>
      <w:r w:rsidRPr="00F252DE">
        <w:rPr>
          <w:rFonts w:ascii="Century Gothic" w:hAnsi="Century Gothic"/>
          <w:sz w:val="20"/>
          <w:szCs w:val="20"/>
        </w:rPr>
        <w:t xml:space="preserve">-UNACH-SG-DESN-2020 </w:t>
      </w:r>
    </w:p>
    <w:p w:rsidR="007C12EC" w:rsidRPr="00F252DE" w:rsidRDefault="007C12EC" w:rsidP="007C12EC">
      <w:pPr>
        <w:spacing w:after="0" w:line="240" w:lineRule="auto"/>
        <w:jc w:val="both"/>
        <w:rPr>
          <w:rFonts w:ascii="Century Gothic" w:hAnsi="Century Gothic"/>
          <w:sz w:val="20"/>
          <w:szCs w:val="20"/>
        </w:rPr>
      </w:pPr>
      <w:r w:rsidRPr="00F252DE">
        <w:rPr>
          <w:rFonts w:ascii="Century Gothic" w:hAnsi="Century Gothic"/>
          <w:sz w:val="20"/>
          <w:szCs w:val="20"/>
        </w:rPr>
        <w:t xml:space="preserve">Riobamba, </w:t>
      </w:r>
      <w:r w:rsidR="00194781">
        <w:rPr>
          <w:rFonts w:ascii="Century Gothic" w:hAnsi="Century Gothic"/>
          <w:sz w:val="20"/>
          <w:szCs w:val="20"/>
        </w:rPr>
        <w:t>23</w:t>
      </w:r>
      <w:r w:rsidRPr="00F252DE">
        <w:rPr>
          <w:rFonts w:ascii="Century Gothic" w:hAnsi="Century Gothic"/>
          <w:sz w:val="20"/>
          <w:szCs w:val="20"/>
        </w:rPr>
        <w:t xml:space="preserve"> de noviembre de 2020.</w:t>
      </w:r>
    </w:p>
    <w:p w:rsidR="007C12EC" w:rsidRPr="00F252DE" w:rsidRDefault="007C12EC" w:rsidP="007C12EC">
      <w:pPr>
        <w:spacing w:after="0" w:line="240" w:lineRule="auto"/>
        <w:jc w:val="both"/>
        <w:rPr>
          <w:rFonts w:ascii="Century Gothic" w:hAnsi="Century Gothic"/>
          <w:sz w:val="20"/>
          <w:szCs w:val="20"/>
        </w:rPr>
      </w:pPr>
    </w:p>
    <w:p w:rsidR="00194781" w:rsidRDefault="007C12EC" w:rsidP="007C12EC">
      <w:pPr>
        <w:spacing w:after="0" w:line="240" w:lineRule="auto"/>
        <w:jc w:val="both"/>
        <w:rPr>
          <w:rFonts w:ascii="Century Gothic" w:hAnsi="Century Gothic"/>
          <w:sz w:val="20"/>
          <w:szCs w:val="20"/>
        </w:rPr>
      </w:pPr>
      <w:r w:rsidRPr="00F252DE">
        <w:rPr>
          <w:rFonts w:ascii="Century Gothic" w:hAnsi="Century Gothic"/>
          <w:sz w:val="20"/>
          <w:szCs w:val="20"/>
        </w:rPr>
        <w:t>Señores</w:t>
      </w:r>
    </w:p>
    <w:p w:rsidR="00194781" w:rsidRPr="00EC0649" w:rsidRDefault="00194781" w:rsidP="007C12EC">
      <w:pPr>
        <w:spacing w:after="0" w:line="240" w:lineRule="auto"/>
        <w:jc w:val="both"/>
        <w:rPr>
          <w:rFonts w:ascii="Century Gothic" w:hAnsi="Century Gothic"/>
          <w:b/>
          <w:sz w:val="20"/>
          <w:szCs w:val="20"/>
        </w:rPr>
      </w:pPr>
      <w:r w:rsidRPr="00EC0649">
        <w:rPr>
          <w:rFonts w:ascii="Century Gothic" w:hAnsi="Century Gothic"/>
          <w:b/>
          <w:sz w:val="20"/>
          <w:szCs w:val="20"/>
        </w:rPr>
        <w:t>RECTOR.</w:t>
      </w:r>
    </w:p>
    <w:p w:rsidR="00312DB0" w:rsidRPr="00EC0649" w:rsidRDefault="00194781" w:rsidP="007C12EC">
      <w:pPr>
        <w:spacing w:after="0" w:line="240" w:lineRule="auto"/>
        <w:jc w:val="both"/>
        <w:rPr>
          <w:rFonts w:ascii="Century Gothic" w:hAnsi="Century Gothic"/>
          <w:b/>
          <w:sz w:val="20"/>
          <w:szCs w:val="20"/>
        </w:rPr>
      </w:pPr>
      <w:r w:rsidRPr="00EC0649">
        <w:rPr>
          <w:rFonts w:ascii="Century Gothic" w:hAnsi="Century Gothic"/>
          <w:b/>
          <w:sz w:val="20"/>
          <w:szCs w:val="20"/>
        </w:rPr>
        <w:t>VICERRECTORES.</w:t>
      </w:r>
    </w:p>
    <w:p w:rsidR="00194781" w:rsidRPr="00EC0649" w:rsidRDefault="00194781" w:rsidP="007C12EC">
      <w:pPr>
        <w:spacing w:after="0" w:line="240" w:lineRule="auto"/>
        <w:jc w:val="both"/>
        <w:rPr>
          <w:rFonts w:ascii="Century Gothic" w:hAnsi="Century Gothic"/>
          <w:b/>
          <w:sz w:val="20"/>
          <w:szCs w:val="20"/>
        </w:rPr>
      </w:pPr>
      <w:r w:rsidRPr="00EC0649">
        <w:rPr>
          <w:rFonts w:ascii="Century Gothic" w:hAnsi="Century Gothic"/>
          <w:b/>
          <w:sz w:val="20"/>
          <w:szCs w:val="20"/>
        </w:rPr>
        <w:t>DECANOS.</w:t>
      </w:r>
    </w:p>
    <w:p w:rsidR="00194781" w:rsidRPr="00EC0649" w:rsidRDefault="00194781" w:rsidP="007C12EC">
      <w:pPr>
        <w:spacing w:after="0" w:line="240" w:lineRule="auto"/>
        <w:jc w:val="both"/>
        <w:rPr>
          <w:rFonts w:ascii="Century Gothic" w:hAnsi="Century Gothic"/>
          <w:b/>
          <w:sz w:val="20"/>
          <w:szCs w:val="20"/>
        </w:rPr>
      </w:pPr>
      <w:r w:rsidRPr="00EC0649">
        <w:rPr>
          <w:rFonts w:ascii="Century Gothic" w:hAnsi="Century Gothic"/>
          <w:b/>
          <w:sz w:val="20"/>
          <w:szCs w:val="20"/>
        </w:rPr>
        <w:t>SUBDECANOS.</w:t>
      </w:r>
    </w:p>
    <w:p w:rsidR="00194781" w:rsidRPr="00EC0649" w:rsidRDefault="00194781" w:rsidP="007C12EC">
      <w:pPr>
        <w:spacing w:after="0" w:line="240" w:lineRule="auto"/>
        <w:jc w:val="both"/>
        <w:rPr>
          <w:rFonts w:ascii="Century Gothic" w:hAnsi="Century Gothic"/>
          <w:b/>
          <w:sz w:val="20"/>
          <w:szCs w:val="20"/>
        </w:rPr>
      </w:pPr>
      <w:r w:rsidRPr="00EC0649">
        <w:rPr>
          <w:rFonts w:ascii="Century Gothic" w:hAnsi="Century Gothic"/>
          <w:b/>
          <w:sz w:val="20"/>
          <w:szCs w:val="20"/>
        </w:rPr>
        <w:t>DIRECTOR DE EVALUACIÓN.</w:t>
      </w:r>
    </w:p>
    <w:p w:rsidR="00194781" w:rsidRPr="00EC0649" w:rsidRDefault="00194781" w:rsidP="007C12EC">
      <w:pPr>
        <w:spacing w:after="0" w:line="240" w:lineRule="auto"/>
        <w:jc w:val="both"/>
        <w:rPr>
          <w:rFonts w:ascii="Century Gothic" w:hAnsi="Century Gothic"/>
          <w:b/>
          <w:sz w:val="20"/>
          <w:szCs w:val="20"/>
        </w:rPr>
      </w:pPr>
      <w:r w:rsidRPr="00EC0649">
        <w:rPr>
          <w:rFonts w:ascii="Century Gothic" w:hAnsi="Century Gothic"/>
          <w:b/>
          <w:sz w:val="20"/>
          <w:szCs w:val="20"/>
        </w:rPr>
        <w:t>DIRECTOR DE PLANIFICACIÓN.</w:t>
      </w:r>
    </w:p>
    <w:p w:rsidR="00194781" w:rsidRPr="00EC0649" w:rsidRDefault="00194781" w:rsidP="007C12EC">
      <w:pPr>
        <w:spacing w:after="0" w:line="240" w:lineRule="auto"/>
        <w:jc w:val="both"/>
        <w:rPr>
          <w:rFonts w:ascii="Century Gothic" w:hAnsi="Century Gothic"/>
          <w:b/>
          <w:sz w:val="20"/>
          <w:szCs w:val="20"/>
        </w:rPr>
      </w:pPr>
      <w:r w:rsidRPr="00EC0649">
        <w:rPr>
          <w:rFonts w:ascii="Century Gothic" w:hAnsi="Century Gothic"/>
          <w:b/>
          <w:sz w:val="20"/>
          <w:szCs w:val="20"/>
        </w:rPr>
        <w:t>COORDINADOR DE GESTIÓN DE CALIDAD.</w:t>
      </w:r>
    </w:p>
    <w:p w:rsidR="00194781" w:rsidRPr="00EC0649" w:rsidRDefault="00194781" w:rsidP="007C12EC">
      <w:pPr>
        <w:spacing w:after="0" w:line="240" w:lineRule="auto"/>
        <w:jc w:val="both"/>
        <w:rPr>
          <w:rFonts w:ascii="Century Gothic" w:hAnsi="Century Gothic"/>
          <w:b/>
          <w:sz w:val="20"/>
          <w:szCs w:val="20"/>
        </w:rPr>
      </w:pPr>
      <w:r w:rsidRPr="00EC0649">
        <w:rPr>
          <w:rFonts w:ascii="Century Gothic" w:hAnsi="Century Gothic"/>
          <w:b/>
          <w:sz w:val="20"/>
          <w:szCs w:val="20"/>
        </w:rPr>
        <w:t>MIEMBROS DE LA COMISIÓN DE EVALUACIÓN INTERNA.</w:t>
      </w:r>
    </w:p>
    <w:p w:rsidR="00EC0649" w:rsidRPr="00EC0649" w:rsidRDefault="00EC0649" w:rsidP="00EC0649">
      <w:pPr>
        <w:spacing w:after="0" w:line="240" w:lineRule="auto"/>
        <w:jc w:val="both"/>
        <w:rPr>
          <w:rFonts w:ascii="Century Gothic" w:hAnsi="Century Gothic"/>
          <w:b/>
          <w:sz w:val="20"/>
          <w:szCs w:val="20"/>
        </w:rPr>
      </w:pPr>
      <w:r w:rsidRPr="00EC0649">
        <w:rPr>
          <w:rFonts w:ascii="Century Gothic" w:hAnsi="Century Gothic"/>
          <w:b/>
          <w:sz w:val="20"/>
          <w:szCs w:val="20"/>
        </w:rPr>
        <w:t xml:space="preserve">AUTORIDADES, </w:t>
      </w:r>
      <w:r w:rsidRPr="00EC0649">
        <w:rPr>
          <w:rFonts w:ascii="Century Gothic" w:hAnsi="Century Gothic"/>
          <w:b/>
          <w:sz w:val="20"/>
          <w:szCs w:val="20"/>
        </w:rPr>
        <w:t xml:space="preserve">DIRECTORES, COORDINADORES </w:t>
      </w:r>
      <w:r w:rsidRPr="00EC0649">
        <w:rPr>
          <w:rFonts w:ascii="Century Gothic" w:hAnsi="Century Gothic"/>
          <w:b/>
          <w:sz w:val="20"/>
          <w:szCs w:val="20"/>
        </w:rPr>
        <w:t>UNIDADES</w:t>
      </w:r>
    </w:p>
    <w:p w:rsidR="00EC0649" w:rsidRPr="00EC0649" w:rsidRDefault="00EC0649" w:rsidP="007C12EC">
      <w:pPr>
        <w:spacing w:after="0" w:line="240" w:lineRule="auto"/>
        <w:jc w:val="both"/>
        <w:rPr>
          <w:rFonts w:ascii="Century Gothic" w:hAnsi="Century Gothic"/>
          <w:b/>
          <w:sz w:val="20"/>
          <w:szCs w:val="20"/>
        </w:rPr>
      </w:pPr>
      <w:r w:rsidRPr="00EC0649">
        <w:rPr>
          <w:rFonts w:ascii="Century Gothic" w:hAnsi="Century Gothic"/>
          <w:b/>
          <w:sz w:val="20"/>
          <w:szCs w:val="20"/>
        </w:rPr>
        <w:t>ACADÉMICAS Y ADMINISTRATIVAS</w:t>
      </w:r>
      <w:r w:rsidRPr="00EC0649">
        <w:rPr>
          <w:rFonts w:ascii="Century Gothic" w:hAnsi="Century Gothic"/>
          <w:b/>
          <w:sz w:val="20"/>
          <w:szCs w:val="20"/>
        </w:rPr>
        <w:t>.</w:t>
      </w:r>
    </w:p>
    <w:p w:rsidR="007C12EC" w:rsidRPr="00F252DE" w:rsidRDefault="007C12EC" w:rsidP="007C12EC">
      <w:pPr>
        <w:spacing w:after="0" w:line="240" w:lineRule="auto"/>
        <w:jc w:val="both"/>
        <w:rPr>
          <w:rFonts w:ascii="Century Gothic" w:hAnsi="Century Gothic"/>
          <w:sz w:val="20"/>
          <w:szCs w:val="20"/>
        </w:rPr>
      </w:pPr>
      <w:r w:rsidRPr="00F252DE">
        <w:rPr>
          <w:rFonts w:ascii="Century Gothic" w:hAnsi="Century Gothic"/>
          <w:sz w:val="20"/>
          <w:szCs w:val="20"/>
        </w:rPr>
        <w:t>Presente. -</w:t>
      </w:r>
    </w:p>
    <w:p w:rsidR="007C12EC" w:rsidRPr="00F252DE" w:rsidRDefault="007C12EC" w:rsidP="007C12EC">
      <w:pPr>
        <w:pStyle w:val="Textoindependiente"/>
        <w:tabs>
          <w:tab w:val="left" w:pos="2160"/>
          <w:tab w:val="right" w:pos="7863"/>
        </w:tabs>
        <w:jc w:val="both"/>
        <w:rPr>
          <w:rFonts w:ascii="Century Gothic" w:eastAsia="Arial Unicode MS" w:hAnsi="Century Gothic" w:cs="Arial"/>
          <w:sz w:val="20"/>
          <w:szCs w:val="20"/>
        </w:rPr>
      </w:pPr>
    </w:p>
    <w:p w:rsidR="007C12EC" w:rsidRPr="00F252DE" w:rsidRDefault="007C12EC" w:rsidP="007C12EC">
      <w:pPr>
        <w:pStyle w:val="Textoindependiente"/>
        <w:tabs>
          <w:tab w:val="left" w:pos="2160"/>
          <w:tab w:val="right" w:pos="7863"/>
        </w:tabs>
        <w:jc w:val="both"/>
        <w:rPr>
          <w:rFonts w:ascii="Century Gothic" w:eastAsia="Arial Unicode MS" w:hAnsi="Century Gothic" w:cs="Arial"/>
          <w:b w:val="0"/>
          <w:sz w:val="20"/>
          <w:szCs w:val="20"/>
        </w:rPr>
      </w:pPr>
      <w:r w:rsidRPr="00F252DE">
        <w:rPr>
          <w:rFonts w:ascii="Century Gothic" w:eastAsia="Arial Unicode MS" w:hAnsi="Century Gothic" w:cs="Arial"/>
          <w:b w:val="0"/>
          <w:sz w:val="20"/>
          <w:szCs w:val="20"/>
        </w:rPr>
        <w:t>De mi consideración:</w:t>
      </w:r>
    </w:p>
    <w:p w:rsidR="007C12EC" w:rsidRPr="00F252DE" w:rsidRDefault="007C12EC" w:rsidP="007C12EC">
      <w:pPr>
        <w:pStyle w:val="Textoindependiente"/>
        <w:tabs>
          <w:tab w:val="left" w:pos="2160"/>
          <w:tab w:val="right" w:pos="7863"/>
        </w:tabs>
        <w:jc w:val="both"/>
        <w:rPr>
          <w:rFonts w:ascii="Century Gothic" w:eastAsia="Arial Unicode MS" w:hAnsi="Century Gothic" w:cs="Arial"/>
          <w:b w:val="0"/>
          <w:sz w:val="20"/>
          <w:szCs w:val="20"/>
        </w:rPr>
      </w:pPr>
    </w:p>
    <w:p w:rsidR="007C12EC" w:rsidRPr="00F252DE" w:rsidRDefault="007C12EC" w:rsidP="007C12EC">
      <w:pPr>
        <w:pStyle w:val="Textoindependiente"/>
        <w:tabs>
          <w:tab w:val="left" w:pos="2160"/>
          <w:tab w:val="right" w:pos="7863"/>
        </w:tabs>
        <w:jc w:val="both"/>
        <w:rPr>
          <w:rFonts w:ascii="Century Gothic" w:eastAsia="Arial Unicode MS" w:hAnsi="Century Gothic" w:cs="Arial"/>
          <w:b w:val="0"/>
          <w:sz w:val="20"/>
          <w:szCs w:val="20"/>
        </w:rPr>
      </w:pPr>
      <w:r w:rsidRPr="00F252DE">
        <w:rPr>
          <w:rFonts w:ascii="Century Gothic" w:eastAsia="Arial Unicode MS" w:hAnsi="Century Gothic" w:cs="Arial"/>
          <w:b w:val="0"/>
          <w:sz w:val="20"/>
          <w:szCs w:val="20"/>
        </w:rPr>
        <w:t xml:space="preserve">Cumplo con el deber de informar a ustedes que, el Consejo Universitario, en sesión de fecha </w:t>
      </w:r>
      <w:r w:rsidR="00EC0649">
        <w:rPr>
          <w:rFonts w:ascii="Century Gothic" w:eastAsia="Arial Unicode MS" w:hAnsi="Century Gothic" w:cs="Arial"/>
          <w:b w:val="0"/>
          <w:sz w:val="20"/>
          <w:szCs w:val="20"/>
        </w:rPr>
        <w:t>23</w:t>
      </w:r>
      <w:r w:rsidRPr="00F252DE">
        <w:rPr>
          <w:rFonts w:ascii="Century Gothic" w:eastAsia="Arial Unicode MS" w:hAnsi="Century Gothic" w:cs="Arial"/>
          <w:b w:val="0"/>
          <w:sz w:val="20"/>
          <w:szCs w:val="20"/>
        </w:rPr>
        <w:t xml:space="preserve"> de noviembre de 2020, resolvió lo siguiente:</w:t>
      </w:r>
    </w:p>
    <w:p w:rsidR="007C12EC" w:rsidRPr="00F252DE" w:rsidRDefault="007C12EC" w:rsidP="007C12EC">
      <w:pPr>
        <w:pStyle w:val="Textoindependiente"/>
        <w:tabs>
          <w:tab w:val="left" w:pos="2160"/>
          <w:tab w:val="right" w:pos="7863"/>
        </w:tabs>
        <w:jc w:val="both"/>
        <w:rPr>
          <w:rFonts w:ascii="Century Gothic" w:eastAsia="Arial Unicode MS" w:hAnsi="Century Gothic" w:cs="Arial"/>
          <w:b w:val="0"/>
          <w:sz w:val="20"/>
          <w:szCs w:val="20"/>
        </w:rPr>
      </w:pPr>
    </w:p>
    <w:p w:rsidR="00C634E6" w:rsidRDefault="00C634E6" w:rsidP="00C634E6">
      <w:pPr>
        <w:pStyle w:val="Encabezado"/>
        <w:jc w:val="both"/>
        <w:rPr>
          <w:rFonts w:ascii="Century Gothic" w:hAnsi="Century Gothic"/>
          <w:sz w:val="20"/>
          <w:szCs w:val="20"/>
        </w:rPr>
      </w:pPr>
    </w:p>
    <w:p w:rsidR="00EC0649" w:rsidRPr="00EC0649" w:rsidRDefault="00EC0649" w:rsidP="00EC0649">
      <w:pPr>
        <w:pStyle w:val="Prrafodelista"/>
        <w:numPr>
          <w:ilvl w:val="0"/>
          <w:numId w:val="17"/>
        </w:numPr>
        <w:spacing w:after="0" w:line="240" w:lineRule="auto"/>
        <w:jc w:val="both"/>
        <w:rPr>
          <w:rFonts w:ascii="Century Gothic" w:hAnsi="Century Gothic"/>
          <w:b/>
          <w:sz w:val="20"/>
          <w:szCs w:val="20"/>
        </w:rPr>
      </w:pPr>
      <w:r w:rsidRPr="00EC0649">
        <w:rPr>
          <w:rFonts w:ascii="Century Gothic" w:hAnsi="Century Gothic"/>
          <w:b/>
          <w:sz w:val="20"/>
          <w:szCs w:val="20"/>
        </w:rPr>
        <w:t>PLAN DE ASEGURAMIENTO DE LA CALIDAD INSTITUCIONAL.</w:t>
      </w:r>
    </w:p>
    <w:p w:rsidR="00EC0649" w:rsidRDefault="00EC0649" w:rsidP="00EC0649">
      <w:pPr>
        <w:spacing w:after="0" w:line="240" w:lineRule="auto"/>
        <w:rPr>
          <w:rFonts w:ascii="Century Gothic" w:hAnsi="Century Gothic"/>
          <w:sz w:val="20"/>
          <w:szCs w:val="20"/>
        </w:rPr>
      </w:pPr>
    </w:p>
    <w:p w:rsidR="00EC0649" w:rsidRDefault="00EC0649" w:rsidP="00EC0649">
      <w:pPr>
        <w:spacing w:after="0" w:line="240" w:lineRule="auto"/>
        <w:jc w:val="center"/>
        <w:rPr>
          <w:rFonts w:ascii="Century Gothic" w:hAnsi="Century Gothic"/>
          <w:b/>
          <w:sz w:val="20"/>
          <w:szCs w:val="20"/>
        </w:rPr>
      </w:pPr>
      <w:r>
        <w:rPr>
          <w:rFonts w:ascii="Century Gothic" w:hAnsi="Century Gothic"/>
          <w:b/>
          <w:sz w:val="20"/>
          <w:szCs w:val="20"/>
        </w:rPr>
        <w:t>RESOLUCIÓN No. 0177-CU-UNACH-DESN-23-11-2020:</w:t>
      </w:r>
    </w:p>
    <w:p w:rsidR="00EC0649" w:rsidRDefault="00EC0649" w:rsidP="00EC0649">
      <w:pPr>
        <w:spacing w:after="0" w:line="240" w:lineRule="auto"/>
        <w:jc w:val="center"/>
        <w:rPr>
          <w:rFonts w:ascii="Century Gothic" w:hAnsi="Century Gothic"/>
          <w:b/>
          <w:sz w:val="20"/>
          <w:szCs w:val="20"/>
        </w:rPr>
      </w:pPr>
    </w:p>
    <w:p w:rsidR="00EC0649" w:rsidRDefault="00EC0649" w:rsidP="00EC0649">
      <w:pPr>
        <w:spacing w:after="0" w:line="240" w:lineRule="auto"/>
        <w:jc w:val="center"/>
        <w:rPr>
          <w:rFonts w:ascii="Century Gothic" w:hAnsi="Century Gothic"/>
          <w:b/>
          <w:sz w:val="20"/>
          <w:szCs w:val="20"/>
        </w:rPr>
      </w:pPr>
      <w:r>
        <w:rPr>
          <w:rFonts w:ascii="Century Gothic" w:hAnsi="Century Gothic"/>
          <w:b/>
          <w:sz w:val="20"/>
          <w:szCs w:val="20"/>
        </w:rPr>
        <w:t>EL CONSEJO UNIVERSITARIO</w:t>
      </w:r>
    </w:p>
    <w:p w:rsidR="00EC0649" w:rsidRDefault="00EC0649" w:rsidP="00EC0649">
      <w:pPr>
        <w:spacing w:after="0" w:line="240" w:lineRule="auto"/>
        <w:jc w:val="center"/>
        <w:rPr>
          <w:rFonts w:ascii="Century Gothic" w:hAnsi="Century Gothic"/>
          <w:b/>
          <w:sz w:val="20"/>
          <w:szCs w:val="20"/>
        </w:rPr>
      </w:pPr>
      <w:r>
        <w:rPr>
          <w:rFonts w:ascii="Century Gothic" w:hAnsi="Century Gothic"/>
          <w:b/>
          <w:sz w:val="20"/>
          <w:szCs w:val="20"/>
        </w:rPr>
        <w:t>Considerando:</w:t>
      </w:r>
    </w:p>
    <w:p w:rsidR="00EC0649" w:rsidRDefault="00EC0649" w:rsidP="00EC0649">
      <w:pPr>
        <w:spacing w:after="0" w:line="240" w:lineRule="auto"/>
        <w:rPr>
          <w:rFonts w:ascii="Century Gothic" w:hAnsi="Century Gothic"/>
          <w:b/>
          <w:sz w:val="20"/>
          <w:szCs w:val="20"/>
        </w:rPr>
      </w:pPr>
    </w:p>
    <w:p w:rsidR="00EC0649" w:rsidRPr="0084418B" w:rsidRDefault="00EC0649" w:rsidP="00EC0649">
      <w:pPr>
        <w:pStyle w:val="Default"/>
        <w:jc w:val="both"/>
        <w:rPr>
          <w:rFonts w:ascii="Century Gothic" w:hAnsi="Century Gothic"/>
          <w:sz w:val="20"/>
          <w:szCs w:val="20"/>
        </w:rPr>
      </w:pPr>
      <w:r w:rsidRPr="0084418B">
        <w:rPr>
          <w:rFonts w:ascii="Century Gothic" w:hAnsi="Century Gothic"/>
          <w:sz w:val="20"/>
          <w:szCs w:val="20"/>
        </w:rPr>
        <w:t xml:space="preserve">Que, el Consejo de Aseguramiento de la Calidad de la Educación, mediante Resolución No. 013-SE-06-CACES-2019 expidió </w:t>
      </w:r>
      <w:r w:rsidRPr="00F20A05">
        <w:rPr>
          <w:rFonts w:ascii="Century Gothic" w:hAnsi="Century Gothic"/>
          <w:bCs/>
          <w:sz w:val="20"/>
          <w:szCs w:val="20"/>
        </w:rPr>
        <w:t xml:space="preserve">el </w:t>
      </w:r>
      <w:r w:rsidRPr="0084418B">
        <w:rPr>
          <w:rFonts w:ascii="Century Gothic" w:hAnsi="Century Gothic"/>
          <w:b/>
          <w:bCs/>
          <w:sz w:val="20"/>
          <w:szCs w:val="20"/>
        </w:rPr>
        <w:t>REGLAMENTO DE EVALUACIÓN EXTERNA CON FINES DE ACREDITACIÓN DE UNIVERSIDADES Y ESCUELAS POLITÉCNICAS</w:t>
      </w:r>
      <w:r>
        <w:rPr>
          <w:rFonts w:ascii="Century Gothic" w:hAnsi="Century Gothic"/>
          <w:b/>
          <w:bCs/>
          <w:sz w:val="20"/>
          <w:szCs w:val="20"/>
        </w:rPr>
        <w:t>,</w:t>
      </w:r>
      <w:r w:rsidRPr="0084418B">
        <w:rPr>
          <w:rFonts w:ascii="Century Gothic" w:hAnsi="Century Gothic"/>
          <w:sz w:val="20"/>
          <w:szCs w:val="20"/>
        </w:rPr>
        <w:t xml:space="preserve"> el cual, referente al proceso de acreditación, </w:t>
      </w:r>
      <w:r>
        <w:rPr>
          <w:rFonts w:ascii="Century Gothic" w:hAnsi="Century Gothic"/>
          <w:sz w:val="20"/>
          <w:szCs w:val="20"/>
        </w:rPr>
        <w:t>determina, lo siguiente</w:t>
      </w:r>
      <w:r w:rsidRPr="0084418B">
        <w:rPr>
          <w:rFonts w:ascii="Century Gothic" w:hAnsi="Century Gothic"/>
          <w:sz w:val="20"/>
          <w:szCs w:val="20"/>
        </w:rPr>
        <w:t>:</w:t>
      </w:r>
    </w:p>
    <w:p w:rsidR="00EC0649" w:rsidRPr="0084418B" w:rsidRDefault="00EC0649" w:rsidP="00EC0649">
      <w:pPr>
        <w:pStyle w:val="Default"/>
        <w:jc w:val="both"/>
        <w:rPr>
          <w:rFonts w:ascii="Century Gothic" w:hAnsi="Century Gothic"/>
          <w:sz w:val="20"/>
          <w:szCs w:val="20"/>
        </w:rPr>
      </w:pPr>
      <w:r w:rsidRPr="0084418B">
        <w:rPr>
          <w:rFonts w:ascii="Century Gothic" w:hAnsi="Century Gothic"/>
          <w:sz w:val="20"/>
          <w:szCs w:val="20"/>
        </w:rPr>
        <w:t xml:space="preserve"> </w:t>
      </w:r>
    </w:p>
    <w:p w:rsidR="00EC0649" w:rsidRPr="00F20A05" w:rsidRDefault="00EC0649" w:rsidP="00EC0649">
      <w:pPr>
        <w:pStyle w:val="Default"/>
        <w:jc w:val="both"/>
        <w:rPr>
          <w:rFonts w:ascii="Century Gothic" w:hAnsi="Century Gothic"/>
          <w:i/>
          <w:sz w:val="20"/>
          <w:szCs w:val="20"/>
        </w:rPr>
      </w:pPr>
      <w:r w:rsidRPr="00F20A05">
        <w:rPr>
          <w:rFonts w:ascii="Century Gothic" w:hAnsi="Century Gothic"/>
          <w:b/>
          <w:bCs/>
          <w:i/>
          <w:sz w:val="20"/>
          <w:szCs w:val="20"/>
        </w:rPr>
        <w:t>“… Articulo 31</w:t>
      </w:r>
      <w:r w:rsidRPr="00F20A05">
        <w:rPr>
          <w:rFonts w:ascii="Century Gothic" w:hAnsi="Century Gothic"/>
          <w:i/>
          <w:sz w:val="20"/>
          <w:szCs w:val="20"/>
        </w:rPr>
        <w:t xml:space="preserve">.- De la acreditación. La acreditación es el reconocimiento que realiza el CACES a las UEP que han alcanzado los criterios y estándares determinados en el modelo de evaluación externa conforme con la metodología de acreditación incluida en el modelo de evaluación. </w:t>
      </w:r>
    </w:p>
    <w:p w:rsidR="00EC0649" w:rsidRPr="00F20A05" w:rsidRDefault="00EC0649" w:rsidP="00EC0649">
      <w:pPr>
        <w:pStyle w:val="Default"/>
        <w:jc w:val="both"/>
        <w:rPr>
          <w:rFonts w:ascii="Century Gothic" w:hAnsi="Century Gothic"/>
          <w:i/>
          <w:sz w:val="20"/>
          <w:szCs w:val="20"/>
        </w:rPr>
      </w:pPr>
      <w:r w:rsidRPr="00F20A05">
        <w:rPr>
          <w:rFonts w:ascii="Century Gothic" w:hAnsi="Century Gothic"/>
          <w:b/>
          <w:bCs/>
          <w:i/>
          <w:sz w:val="20"/>
          <w:szCs w:val="20"/>
        </w:rPr>
        <w:t>Artículo 32</w:t>
      </w:r>
      <w:r w:rsidRPr="00F20A05">
        <w:rPr>
          <w:rFonts w:ascii="Century Gothic" w:hAnsi="Century Gothic"/>
          <w:i/>
          <w:sz w:val="20"/>
          <w:szCs w:val="20"/>
        </w:rPr>
        <w:t xml:space="preserve">.- De los planes de aseguramiento de la calidad de las UEP. - Las universidades y escuelas politécnicas acreditadas elaborarán un plan de aseguramiento de la calidad, tomando como insumo el informe de evaluación externa. </w:t>
      </w:r>
    </w:p>
    <w:p w:rsidR="00EC0649" w:rsidRPr="00F20A05" w:rsidRDefault="00EC0649" w:rsidP="00EC0649">
      <w:pPr>
        <w:pStyle w:val="Default"/>
        <w:jc w:val="both"/>
        <w:rPr>
          <w:rFonts w:ascii="Century Gothic" w:hAnsi="Century Gothic"/>
          <w:i/>
          <w:sz w:val="20"/>
          <w:szCs w:val="20"/>
        </w:rPr>
      </w:pPr>
      <w:r w:rsidRPr="00F20A05">
        <w:rPr>
          <w:rFonts w:ascii="Century Gothic" w:hAnsi="Century Gothic"/>
          <w:i/>
          <w:sz w:val="20"/>
          <w:szCs w:val="20"/>
        </w:rPr>
        <w:t xml:space="preserve">El plan de aseguramiento de la calidad incluirá al menos objetivos, metas, indicadores, medios de verificación, acciones, presupuesto y cronograma, y será remitido al CACES en un plazo máximo de tres meses posteriores a su notificación de acreditación. </w:t>
      </w:r>
    </w:p>
    <w:p w:rsidR="00EC0649" w:rsidRPr="00F20A05" w:rsidRDefault="00EC0649" w:rsidP="00EC0649">
      <w:pPr>
        <w:pStyle w:val="Default"/>
        <w:jc w:val="both"/>
        <w:rPr>
          <w:rFonts w:ascii="Century Gothic" w:hAnsi="Century Gothic"/>
          <w:i/>
          <w:sz w:val="20"/>
          <w:szCs w:val="20"/>
        </w:rPr>
      </w:pPr>
      <w:r w:rsidRPr="00F20A05">
        <w:rPr>
          <w:rFonts w:ascii="Century Gothic" w:hAnsi="Century Gothic"/>
          <w:i/>
          <w:sz w:val="20"/>
          <w:szCs w:val="20"/>
        </w:rPr>
        <w:t xml:space="preserve">La ejecución del plan de aseguramiento de la calidad deberá constar en la planificación de la institución </w:t>
      </w:r>
    </w:p>
    <w:p w:rsidR="00EC0649" w:rsidRDefault="00EC0649" w:rsidP="00EC0649">
      <w:pPr>
        <w:pStyle w:val="Default"/>
        <w:jc w:val="both"/>
        <w:rPr>
          <w:rFonts w:ascii="Century Gothic" w:hAnsi="Century Gothic"/>
          <w:i/>
          <w:iCs/>
          <w:sz w:val="20"/>
          <w:szCs w:val="20"/>
        </w:rPr>
      </w:pPr>
      <w:r w:rsidRPr="00F20A05">
        <w:rPr>
          <w:rFonts w:ascii="Century Gothic" w:hAnsi="Century Gothic"/>
          <w:b/>
          <w:bCs/>
          <w:i/>
          <w:sz w:val="20"/>
          <w:szCs w:val="20"/>
        </w:rPr>
        <w:t xml:space="preserve">Artículo 33.- </w:t>
      </w:r>
      <w:r w:rsidRPr="00F20A05">
        <w:rPr>
          <w:rFonts w:ascii="Century Gothic" w:hAnsi="Century Gothic"/>
          <w:i/>
          <w:sz w:val="20"/>
          <w:szCs w:val="20"/>
        </w:rPr>
        <w:t xml:space="preserve">Del cumplimiento de los planes de aseguramiento de la calidad. - El CACES, a través de la Comisión de universidades y escuelas politécnicas y el área técnica respectiva, monitoreará el avance de los planes de aseguramiento de la calidad, cuando lo considere pertinente o a pedido de las UEP. Para ello el CACES podrá solicitar informes de cumplimiento o realizar visitas </w:t>
      </w:r>
      <w:r w:rsidRPr="00F20A05">
        <w:rPr>
          <w:rFonts w:ascii="Century Gothic" w:hAnsi="Century Gothic"/>
          <w:i/>
          <w:iCs/>
          <w:sz w:val="20"/>
          <w:szCs w:val="20"/>
        </w:rPr>
        <w:t>in situ. (…)”</w:t>
      </w:r>
      <w:r>
        <w:rPr>
          <w:rFonts w:ascii="Century Gothic" w:hAnsi="Century Gothic"/>
          <w:i/>
          <w:iCs/>
          <w:sz w:val="20"/>
          <w:szCs w:val="20"/>
        </w:rPr>
        <w:t>.</w:t>
      </w:r>
      <w:r w:rsidRPr="0084418B">
        <w:rPr>
          <w:rFonts w:ascii="Century Gothic" w:hAnsi="Century Gothic"/>
          <w:i/>
          <w:iCs/>
          <w:sz w:val="20"/>
          <w:szCs w:val="20"/>
        </w:rPr>
        <w:t xml:space="preserve"> </w:t>
      </w:r>
    </w:p>
    <w:p w:rsidR="00EC0649" w:rsidRPr="0084418B" w:rsidRDefault="00EC0649" w:rsidP="00EC0649">
      <w:pPr>
        <w:pStyle w:val="Default"/>
        <w:jc w:val="both"/>
        <w:rPr>
          <w:rFonts w:ascii="Century Gothic" w:hAnsi="Century Gothic"/>
          <w:sz w:val="20"/>
          <w:szCs w:val="20"/>
        </w:rPr>
      </w:pPr>
    </w:p>
    <w:p w:rsidR="00EC0649" w:rsidRDefault="00EC0649" w:rsidP="00EC0649">
      <w:pPr>
        <w:pStyle w:val="Default"/>
        <w:jc w:val="both"/>
        <w:rPr>
          <w:rFonts w:ascii="Century Gothic" w:hAnsi="Century Gothic"/>
          <w:sz w:val="20"/>
          <w:szCs w:val="20"/>
        </w:rPr>
      </w:pPr>
      <w:r>
        <w:rPr>
          <w:rFonts w:ascii="Century Gothic" w:hAnsi="Century Gothic"/>
          <w:sz w:val="20"/>
          <w:szCs w:val="20"/>
        </w:rPr>
        <w:t>Que, a</w:t>
      </w:r>
      <w:r w:rsidRPr="0084418B">
        <w:rPr>
          <w:rFonts w:ascii="Century Gothic" w:hAnsi="Century Gothic"/>
          <w:sz w:val="20"/>
          <w:szCs w:val="20"/>
        </w:rPr>
        <w:t xml:space="preserve">dicionalmente, mediante Resolución No. 152-SE-33-CACES-2020, aprobada en la Trigésima Tercera Sesión Extraordinaria del Pleno del Consejo de Aseguramiento de la Calidad de la Educación Superior, el 25 de octubre de 2020 dispone: </w:t>
      </w:r>
    </w:p>
    <w:p w:rsidR="00EC0649" w:rsidRDefault="00EC0649" w:rsidP="00EC0649">
      <w:pPr>
        <w:pStyle w:val="Default"/>
        <w:jc w:val="both"/>
        <w:rPr>
          <w:rFonts w:ascii="Century Gothic" w:hAnsi="Century Gothic"/>
          <w:sz w:val="20"/>
          <w:szCs w:val="20"/>
        </w:rPr>
      </w:pPr>
    </w:p>
    <w:p w:rsidR="00EC0649" w:rsidRPr="00F20A05" w:rsidRDefault="00EC0649" w:rsidP="00EC0649">
      <w:pPr>
        <w:pStyle w:val="Default"/>
        <w:jc w:val="both"/>
        <w:rPr>
          <w:i/>
          <w:sz w:val="20"/>
          <w:szCs w:val="20"/>
        </w:rPr>
      </w:pPr>
      <w:r w:rsidRPr="00F20A05">
        <w:rPr>
          <w:i/>
          <w:sz w:val="20"/>
          <w:szCs w:val="20"/>
        </w:rPr>
        <w:t xml:space="preserve">“… </w:t>
      </w:r>
      <w:r w:rsidRPr="00F20A05">
        <w:rPr>
          <w:b/>
          <w:bCs/>
          <w:i/>
          <w:sz w:val="20"/>
          <w:szCs w:val="20"/>
        </w:rPr>
        <w:t xml:space="preserve">Artículo 1.- </w:t>
      </w:r>
      <w:r w:rsidRPr="00F20A05">
        <w:rPr>
          <w:i/>
          <w:sz w:val="20"/>
          <w:szCs w:val="20"/>
        </w:rPr>
        <w:t xml:space="preserve">Aprobar el “INFORME DE EVALUACIÓN EXTERNA DE LA UNIVERSIDAD NACIONAL DE CHIMBORAZO”, presentado por la Comisión de Universidades y Escuelas Politécnicas, que se anexa y es parte integrante de la presente resolución. </w:t>
      </w:r>
    </w:p>
    <w:p w:rsidR="00EC0649" w:rsidRPr="00F20A05" w:rsidRDefault="00EC0649" w:rsidP="00EC0649">
      <w:pPr>
        <w:pStyle w:val="Default"/>
        <w:jc w:val="both"/>
        <w:rPr>
          <w:i/>
          <w:sz w:val="20"/>
          <w:szCs w:val="20"/>
        </w:rPr>
      </w:pPr>
    </w:p>
    <w:p w:rsidR="00EC0649" w:rsidRPr="00F20A05" w:rsidRDefault="00EC0649" w:rsidP="00EC0649">
      <w:pPr>
        <w:pStyle w:val="Default"/>
        <w:jc w:val="both"/>
        <w:rPr>
          <w:i/>
          <w:sz w:val="20"/>
          <w:szCs w:val="20"/>
        </w:rPr>
      </w:pPr>
      <w:r w:rsidRPr="00F20A05">
        <w:rPr>
          <w:b/>
          <w:bCs/>
          <w:i/>
          <w:sz w:val="20"/>
          <w:szCs w:val="20"/>
        </w:rPr>
        <w:t xml:space="preserve">Artículo 2.- </w:t>
      </w:r>
      <w:r w:rsidRPr="00F20A05">
        <w:rPr>
          <w:i/>
          <w:sz w:val="20"/>
          <w:szCs w:val="20"/>
        </w:rPr>
        <w:t>Acreditar a la UNIVERSIDAD NACIONAL DE CHIMBORAZO por el período de cinco (5) años, por haber alcanzado los criterios y estándares determinados en el Modelo de Evaluación Externa de Universidades y Escuelas Politécnicas conforme con la metodología de acreditación.</w:t>
      </w:r>
    </w:p>
    <w:p w:rsidR="00EC0649" w:rsidRPr="00F20A05" w:rsidRDefault="00EC0649" w:rsidP="00EC0649">
      <w:pPr>
        <w:pStyle w:val="Default"/>
        <w:jc w:val="both"/>
        <w:rPr>
          <w:i/>
          <w:sz w:val="20"/>
          <w:szCs w:val="20"/>
        </w:rPr>
      </w:pPr>
      <w:r w:rsidRPr="00F20A05">
        <w:rPr>
          <w:i/>
          <w:sz w:val="20"/>
          <w:szCs w:val="20"/>
        </w:rPr>
        <w:t xml:space="preserve"> </w:t>
      </w:r>
    </w:p>
    <w:p w:rsidR="00EC0649" w:rsidRPr="00F20A05" w:rsidRDefault="00EC0649" w:rsidP="00EC0649">
      <w:pPr>
        <w:pStyle w:val="Default"/>
        <w:jc w:val="both"/>
        <w:rPr>
          <w:i/>
          <w:sz w:val="20"/>
          <w:szCs w:val="20"/>
        </w:rPr>
      </w:pPr>
      <w:r w:rsidRPr="00F20A05">
        <w:rPr>
          <w:b/>
          <w:bCs/>
          <w:i/>
          <w:sz w:val="20"/>
          <w:szCs w:val="20"/>
        </w:rPr>
        <w:t xml:space="preserve">Artículo 3.- </w:t>
      </w:r>
      <w:r w:rsidRPr="00F20A05">
        <w:rPr>
          <w:i/>
          <w:sz w:val="20"/>
          <w:szCs w:val="20"/>
        </w:rPr>
        <w:t>Disponer a la UNIVERSIDAD NACIONAL DE CHIMBORAZO remita su plan de aseguramiento de la calidad, de conformidad con lo dispuesto en el Reglamento de evaluación externa con fines de acreditación de universidades y escuelas politécnicas, en el plazo máximo de tres meses contados a partir de la notificación de la presente Resolución.</w:t>
      </w:r>
      <w:r>
        <w:rPr>
          <w:i/>
          <w:sz w:val="20"/>
          <w:szCs w:val="20"/>
        </w:rPr>
        <w:t xml:space="preserve"> (…)”.</w:t>
      </w:r>
      <w:r w:rsidRPr="00F20A05">
        <w:rPr>
          <w:i/>
          <w:sz w:val="20"/>
          <w:szCs w:val="20"/>
        </w:rPr>
        <w:t xml:space="preserve"> </w:t>
      </w:r>
    </w:p>
    <w:p w:rsidR="00EC0649" w:rsidRDefault="00EC0649" w:rsidP="00EC0649">
      <w:pPr>
        <w:pStyle w:val="Default"/>
        <w:jc w:val="both"/>
        <w:rPr>
          <w:sz w:val="20"/>
          <w:szCs w:val="20"/>
        </w:rPr>
      </w:pPr>
    </w:p>
    <w:p w:rsidR="00EC0649" w:rsidRDefault="00EC0649" w:rsidP="00EC0649">
      <w:pPr>
        <w:pStyle w:val="Default"/>
        <w:jc w:val="both"/>
        <w:rPr>
          <w:rFonts w:ascii="Century Gothic" w:hAnsi="Century Gothic"/>
          <w:sz w:val="20"/>
          <w:szCs w:val="20"/>
        </w:rPr>
      </w:pPr>
      <w:r w:rsidRPr="00F20A05">
        <w:rPr>
          <w:rFonts w:ascii="Century Gothic" w:hAnsi="Century Gothic"/>
          <w:sz w:val="20"/>
          <w:szCs w:val="20"/>
        </w:rPr>
        <w:t xml:space="preserve">Que, en función de esta disposición, corresponde a la UNACH la elaboración de un PLAN DE ASEGURAMIENTO DE LA CALIDAD, el cual deberá ser presentado hasta el 26 de enero de 2021, fecha en la que se cumplen los tres meses dispuestos a partir de la fecha de la acreditación institucional. </w:t>
      </w:r>
    </w:p>
    <w:p w:rsidR="00EC0649" w:rsidRPr="00F20A05" w:rsidRDefault="00EC0649" w:rsidP="00EC0649">
      <w:pPr>
        <w:pStyle w:val="Default"/>
        <w:jc w:val="both"/>
        <w:rPr>
          <w:rFonts w:ascii="Century Gothic" w:hAnsi="Century Gothic"/>
          <w:sz w:val="20"/>
          <w:szCs w:val="20"/>
        </w:rPr>
      </w:pPr>
    </w:p>
    <w:p w:rsidR="00EC0649" w:rsidRDefault="00EC0649" w:rsidP="00EC0649">
      <w:pPr>
        <w:spacing w:after="0" w:line="240" w:lineRule="auto"/>
        <w:jc w:val="both"/>
        <w:rPr>
          <w:rFonts w:ascii="Century Gothic" w:hAnsi="Century Gothic"/>
          <w:sz w:val="20"/>
          <w:szCs w:val="20"/>
        </w:rPr>
      </w:pPr>
      <w:r w:rsidRPr="00F20A05">
        <w:rPr>
          <w:rFonts w:ascii="Century Gothic" w:hAnsi="Century Gothic"/>
          <w:sz w:val="20"/>
          <w:szCs w:val="20"/>
        </w:rPr>
        <w:t>Que, por lo expresado, es necesario definir las acciones necesarias para mantener o mejorar los estándares del modelo de evaluación, en todos los ejes sustantivos: vinculación, investigación, academia y condiciones institucionales, para lo cual se plantea una metodología en la que se conformará equipos de trabajo que tomarán a su cargo la definición de las acciones encaminadas a mejorar los estándares que corresponden a cada uno de los ejes.</w:t>
      </w:r>
    </w:p>
    <w:p w:rsidR="00EC0649" w:rsidRDefault="00EC0649" w:rsidP="00EC0649">
      <w:pPr>
        <w:spacing w:after="0" w:line="240" w:lineRule="auto"/>
        <w:jc w:val="both"/>
        <w:rPr>
          <w:rFonts w:ascii="Century Gothic" w:hAnsi="Century Gothic"/>
          <w:sz w:val="20"/>
          <w:szCs w:val="20"/>
        </w:rPr>
      </w:pPr>
    </w:p>
    <w:p w:rsidR="00EC0649" w:rsidRDefault="00EC0649" w:rsidP="00EC0649">
      <w:pPr>
        <w:spacing w:after="0" w:line="240" w:lineRule="auto"/>
        <w:jc w:val="both"/>
        <w:rPr>
          <w:rFonts w:ascii="Century Gothic" w:hAnsi="Century Gothic" w:cs="Calibri"/>
          <w:color w:val="000000"/>
          <w:sz w:val="20"/>
          <w:szCs w:val="20"/>
        </w:rPr>
      </w:pPr>
      <w:r w:rsidRPr="00FF2F27">
        <w:rPr>
          <w:rFonts w:ascii="Century Gothic" w:hAnsi="Century Gothic" w:cs="Calibri"/>
          <w:color w:val="000000"/>
          <w:sz w:val="20"/>
          <w:szCs w:val="20"/>
        </w:rPr>
        <w:t>Que, la Dirección de Evaluación para el Aseguramiento de la Calidad Institucional de la UNACH, en el documento propuesto, en la parte pertinente, expresa,</w:t>
      </w:r>
      <w:r>
        <w:rPr>
          <w:rFonts w:ascii="Century Gothic" w:hAnsi="Century Gothic" w:cs="Calibri"/>
          <w:color w:val="000000"/>
          <w:sz w:val="20"/>
          <w:szCs w:val="20"/>
        </w:rPr>
        <w:t xml:space="preserve"> </w:t>
      </w:r>
    </w:p>
    <w:p w:rsidR="00EC0649" w:rsidRDefault="00EC0649" w:rsidP="00EC0649">
      <w:pPr>
        <w:pStyle w:val="Default"/>
        <w:rPr>
          <w:sz w:val="22"/>
          <w:szCs w:val="22"/>
        </w:rPr>
      </w:pPr>
      <w:r>
        <w:rPr>
          <w:rFonts w:ascii="Century Gothic" w:hAnsi="Century Gothic" w:cs="Calibri"/>
          <w:sz w:val="20"/>
          <w:szCs w:val="20"/>
        </w:rPr>
        <w:t xml:space="preserve">“… </w:t>
      </w:r>
      <w:r>
        <w:rPr>
          <w:b/>
          <w:bCs/>
          <w:sz w:val="22"/>
          <w:szCs w:val="22"/>
        </w:rPr>
        <w:t xml:space="preserve">Presentación </w:t>
      </w:r>
    </w:p>
    <w:p w:rsidR="00EC0649" w:rsidRPr="00FF2F27" w:rsidRDefault="00EC0649" w:rsidP="00EC0649">
      <w:pPr>
        <w:pStyle w:val="Default"/>
        <w:jc w:val="both"/>
        <w:rPr>
          <w:i/>
          <w:sz w:val="20"/>
          <w:szCs w:val="20"/>
        </w:rPr>
      </w:pPr>
      <w:r w:rsidRPr="00FF2F27">
        <w:rPr>
          <w:i/>
          <w:sz w:val="20"/>
          <w:szCs w:val="20"/>
        </w:rPr>
        <w:t xml:space="preserve">La excelencia de las instituciones de Educación Superior debe estar regida por la capacidad de crecer en la mejora continua, teniendo en cuenta el entorno evolutivo, sus fortalezas y debilidades. </w:t>
      </w:r>
    </w:p>
    <w:p w:rsidR="00EC0649" w:rsidRPr="00FF2F27" w:rsidRDefault="00EC0649" w:rsidP="00EC0649">
      <w:pPr>
        <w:pStyle w:val="Default"/>
        <w:jc w:val="both"/>
        <w:rPr>
          <w:i/>
          <w:sz w:val="20"/>
          <w:szCs w:val="20"/>
        </w:rPr>
      </w:pPr>
      <w:r w:rsidRPr="00FF2F27">
        <w:rPr>
          <w:i/>
          <w:sz w:val="20"/>
          <w:szCs w:val="20"/>
        </w:rPr>
        <w:t xml:space="preserve">Un plan de fortalecimiento es una reflexión colectiva en la que se cuestionan las bases más profundas de la Academia, para instaurar otras nuevas, actualizadas. Para ello, es vital que la comunidad universitaria, perciba la necesidad del cambio para adelantarnos a los problemas actuales y cambiantes de la sociedad y ofrecer alternativas de solución. </w:t>
      </w:r>
    </w:p>
    <w:p w:rsidR="00EC0649" w:rsidRPr="00FF2F27" w:rsidRDefault="00EC0649" w:rsidP="00EC0649">
      <w:pPr>
        <w:pStyle w:val="Default"/>
        <w:jc w:val="both"/>
        <w:rPr>
          <w:i/>
          <w:sz w:val="20"/>
          <w:szCs w:val="20"/>
        </w:rPr>
      </w:pPr>
      <w:r w:rsidRPr="00FF2F27">
        <w:rPr>
          <w:i/>
          <w:sz w:val="20"/>
          <w:szCs w:val="20"/>
        </w:rPr>
        <w:t xml:space="preserve">La planificación de su estrategia es el eje principal para la consecución de resultados óptimos esperados. Es por ello que, en función de los resultados obtenidos en el informe de evaluación externa institucional, se presenta la Metodología para la elaboración de Planes de Aseguramiento / Mejoramiento de la Calidad Institucional como instrumento de apoyo en proceso Plan de Mejoras _ fortalecimiento a fin de mejorar y asegurar la calidad de la educación en la Institución al servicio de la sociedad, teniendo en cuenta la misión y visión institucional. </w:t>
      </w:r>
    </w:p>
    <w:p w:rsidR="00EC0649" w:rsidRDefault="00EC0649" w:rsidP="00EC0649">
      <w:pPr>
        <w:spacing w:after="0" w:line="240" w:lineRule="auto"/>
        <w:jc w:val="both"/>
        <w:rPr>
          <w:rFonts w:ascii="Arial" w:hAnsi="Arial" w:cs="Arial"/>
          <w:i/>
          <w:sz w:val="20"/>
          <w:szCs w:val="20"/>
        </w:rPr>
      </w:pPr>
      <w:r w:rsidRPr="00FF2F27">
        <w:rPr>
          <w:rFonts w:ascii="Arial" w:hAnsi="Arial" w:cs="Arial"/>
          <w:i/>
          <w:sz w:val="20"/>
          <w:szCs w:val="20"/>
        </w:rPr>
        <w:t>El plan elaborado en base a este documento permite tener de una manera organizada, priorizada y planificada las acciones de mejora cumpla y supere los estándares de evaluación. El éxito del proceso de construcción del plan de aseguramiento / mejoramiento de la calidad institucional requiere del compromiso y participación de todos los actores y el seguimiento respectivo en cada una de las fases descritas.</w:t>
      </w:r>
      <w:r>
        <w:rPr>
          <w:rFonts w:ascii="Arial" w:hAnsi="Arial" w:cs="Arial"/>
          <w:i/>
          <w:sz w:val="20"/>
          <w:szCs w:val="20"/>
        </w:rPr>
        <w:t xml:space="preserve"> (…)”.</w:t>
      </w:r>
    </w:p>
    <w:p w:rsidR="00EC0649" w:rsidRDefault="00EC0649" w:rsidP="00EC0649">
      <w:pPr>
        <w:spacing w:after="0" w:line="240" w:lineRule="auto"/>
        <w:jc w:val="both"/>
        <w:rPr>
          <w:rFonts w:ascii="Century Gothic" w:hAnsi="Century Gothic"/>
          <w:sz w:val="20"/>
          <w:szCs w:val="20"/>
        </w:rPr>
      </w:pPr>
    </w:p>
    <w:p w:rsidR="00EC0649" w:rsidRDefault="00EC0649" w:rsidP="00EC0649">
      <w:pPr>
        <w:autoSpaceDE w:val="0"/>
        <w:autoSpaceDN w:val="0"/>
        <w:adjustRightInd w:val="0"/>
        <w:spacing w:after="0" w:line="240" w:lineRule="auto"/>
        <w:jc w:val="both"/>
        <w:rPr>
          <w:rFonts w:ascii="Arial" w:hAnsi="Arial" w:cs="Arial"/>
          <w:i/>
          <w:color w:val="000000"/>
          <w:sz w:val="20"/>
          <w:szCs w:val="20"/>
        </w:rPr>
      </w:pPr>
      <w:r w:rsidRPr="00FF2F27">
        <w:rPr>
          <w:rFonts w:ascii="Century Gothic" w:hAnsi="Century Gothic" w:cs="Calibri"/>
          <w:color w:val="000000"/>
          <w:sz w:val="20"/>
          <w:szCs w:val="20"/>
        </w:rPr>
        <w:t xml:space="preserve">Que, la Dirección de Evaluación para el Aseguramiento de la Calidad Institucional de la UNACH, en el documento propuesto, </w:t>
      </w:r>
      <w:r>
        <w:rPr>
          <w:rFonts w:ascii="Century Gothic" w:hAnsi="Century Gothic" w:cs="Calibri"/>
          <w:color w:val="000000"/>
          <w:sz w:val="20"/>
          <w:szCs w:val="20"/>
        </w:rPr>
        <w:t>continúa señalando</w:t>
      </w:r>
      <w:r w:rsidRPr="00FF2F27">
        <w:rPr>
          <w:rFonts w:ascii="Century Gothic" w:hAnsi="Century Gothic" w:cs="Calibri"/>
          <w:color w:val="000000"/>
          <w:sz w:val="20"/>
          <w:szCs w:val="20"/>
        </w:rPr>
        <w:t>,</w:t>
      </w:r>
      <w:r>
        <w:rPr>
          <w:rFonts w:ascii="Calibri" w:hAnsi="Calibri" w:cs="Calibri"/>
          <w:color w:val="000000"/>
          <w:sz w:val="20"/>
          <w:szCs w:val="20"/>
        </w:rPr>
        <w:t xml:space="preserve"> </w:t>
      </w:r>
      <w:r w:rsidRPr="00FF2F27">
        <w:rPr>
          <w:rFonts w:ascii="Arial" w:hAnsi="Arial" w:cs="Arial"/>
          <w:i/>
          <w:color w:val="000000"/>
          <w:sz w:val="20"/>
          <w:szCs w:val="20"/>
        </w:rPr>
        <w:t xml:space="preserve">“…  </w:t>
      </w:r>
      <w:r w:rsidRPr="00F20A05">
        <w:rPr>
          <w:rFonts w:ascii="Arial" w:hAnsi="Arial" w:cs="Arial"/>
          <w:i/>
          <w:color w:val="000000"/>
          <w:sz w:val="20"/>
          <w:szCs w:val="20"/>
        </w:rPr>
        <w:t>Luego de esta breve conceptualización y en base a los elementos expuestos, el enfoque que adoptaremos para la construcción del Plan de Aseguramiento /Mejoramiento de la Calidad Institucional de la UNACH, es el prospectivo.</w:t>
      </w:r>
    </w:p>
    <w:p w:rsidR="00EC0649" w:rsidRPr="00F20A05" w:rsidRDefault="00EC0649" w:rsidP="00EC0649">
      <w:pPr>
        <w:autoSpaceDE w:val="0"/>
        <w:autoSpaceDN w:val="0"/>
        <w:adjustRightInd w:val="0"/>
        <w:spacing w:after="0" w:line="240" w:lineRule="auto"/>
        <w:jc w:val="both"/>
        <w:rPr>
          <w:rFonts w:ascii="Arial" w:hAnsi="Arial" w:cs="Arial"/>
          <w:i/>
          <w:color w:val="000000"/>
          <w:sz w:val="20"/>
          <w:szCs w:val="20"/>
        </w:rPr>
      </w:pPr>
      <w:r w:rsidRPr="00F20A05">
        <w:rPr>
          <w:rFonts w:ascii="Arial" w:hAnsi="Arial" w:cs="Arial"/>
          <w:i/>
          <w:color w:val="000000"/>
          <w:sz w:val="20"/>
          <w:szCs w:val="20"/>
        </w:rPr>
        <w:t xml:space="preserve"> </w:t>
      </w:r>
    </w:p>
    <w:p w:rsidR="00EC0649" w:rsidRPr="00F20A05" w:rsidRDefault="00EC0649" w:rsidP="00EC0649">
      <w:pPr>
        <w:autoSpaceDE w:val="0"/>
        <w:autoSpaceDN w:val="0"/>
        <w:adjustRightInd w:val="0"/>
        <w:spacing w:after="0" w:line="240" w:lineRule="auto"/>
        <w:rPr>
          <w:rFonts w:ascii="Arial" w:hAnsi="Arial" w:cs="Arial"/>
          <w:i/>
          <w:color w:val="000000"/>
          <w:sz w:val="20"/>
          <w:szCs w:val="20"/>
        </w:rPr>
      </w:pPr>
      <w:r w:rsidRPr="00F20A05">
        <w:rPr>
          <w:rFonts w:ascii="Arial" w:hAnsi="Arial" w:cs="Arial"/>
          <w:b/>
          <w:bCs/>
          <w:i/>
          <w:color w:val="000000"/>
          <w:sz w:val="20"/>
          <w:szCs w:val="20"/>
        </w:rPr>
        <w:t xml:space="preserve">Objetivos </w:t>
      </w:r>
    </w:p>
    <w:p w:rsidR="00EC0649" w:rsidRPr="00F20A05" w:rsidRDefault="00EC0649" w:rsidP="00EC0649">
      <w:pPr>
        <w:autoSpaceDE w:val="0"/>
        <w:autoSpaceDN w:val="0"/>
        <w:adjustRightInd w:val="0"/>
        <w:spacing w:after="44" w:line="240" w:lineRule="auto"/>
        <w:rPr>
          <w:rFonts w:ascii="Arial" w:hAnsi="Arial" w:cs="Arial"/>
          <w:i/>
          <w:color w:val="000000"/>
          <w:sz w:val="20"/>
          <w:szCs w:val="20"/>
        </w:rPr>
      </w:pPr>
      <w:r w:rsidRPr="00F20A05">
        <w:rPr>
          <w:rFonts w:ascii="Arial" w:hAnsi="Arial" w:cs="Arial"/>
          <w:i/>
          <w:color w:val="000000"/>
          <w:sz w:val="20"/>
          <w:szCs w:val="20"/>
        </w:rPr>
        <w:t xml:space="preserve"> Analizar los resultados obtenidos en los procesos de evaluación. </w:t>
      </w:r>
    </w:p>
    <w:p w:rsidR="00EC0649" w:rsidRPr="00F20A05" w:rsidRDefault="00EC0649" w:rsidP="00EC0649">
      <w:pPr>
        <w:autoSpaceDE w:val="0"/>
        <w:autoSpaceDN w:val="0"/>
        <w:adjustRightInd w:val="0"/>
        <w:spacing w:after="44" w:line="240" w:lineRule="auto"/>
        <w:rPr>
          <w:rFonts w:ascii="Arial" w:hAnsi="Arial" w:cs="Arial"/>
          <w:i/>
          <w:color w:val="000000"/>
          <w:sz w:val="20"/>
          <w:szCs w:val="20"/>
        </w:rPr>
      </w:pPr>
      <w:r w:rsidRPr="00F20A05">
        <w:rPr>
          <w:rFonts w:ascii="Arial" w:hAnsi="Arial" w:cs="Arial"/>
          <w:i/>
          <w:color w:val="000000"/>
          <w:sz w:val="20"/>
          <w:szCs w:val="20"/>
        </w:rPr>
        <w:t xml:space="preserve"> Identificar las fortalezas y debilidades. </w:t>
      </w:r>
    </w:p>
    <w:p w:rsidR="00EC0649" w:rsidRPr="00F20A05" w:rsidRDefault="00EC0649" w:rsidP="00EC0649">
      <w:pPr>
        <w:autoSpaceDE w:val="0"/>
        <w:autoSpaceDN w:val="0"/>
        <w:adjustRightInd w:val="0"/>
        <w:spacing w:after="44" w:line="240" w:lineRule="auto"/>
        <w:rPr>
          <w:rFonts w:ascii="Arial" w:hAnsi="Arial" w:cs="Arial"/>
          <w:i/>
          <w:color w:val="000000"/>
          <w:sz w:val="20"/>
          <w:szCs w:val="20"/>
        </w:rPr>
      </w:pPr>
      <w:r w:rsidRPr="00F20A05">
        <w:rPr>
          <w:rFonts w:ascii="Arial" w:hAnsi="Arial" w:cs="Arial"/>
          <w:i/>
          <w:color w:val="000000"/>
          <w:sz w:val="20"/>
          <w:szCs w:val="20"/>
        </w:rPr>
        <w:t xml:space="preserve"> Establecer las estrategias a seguir. </w:t>
      </w:r>
    </w:p>
    <w:p w:rsidR="00EC0649" w:rsidRPr="00F20A05" w:rsidRDefault="00EC0649" w:rsidP="00EC0649">
      <w:pPr>
        <w:autoSpaceDE w:val="0"/>
        <w:autoSpaceDN w:val="0"/>
        <w:adjustRightInd w:val="0"/>
        <w:spacing w:after="44" w:line="240" w:lineRule="auto"/>
        <w:rPr>
          <w:rFonts w:ascii="Arial" w:hAnsi="Arial" w:cs="Arial"/>
          <w:i/>
          <w:color w:val="000000"/>
          <w:sz w:val="20"/>
          <w:szCs w:val="20"/>
        </w:rPr>
      </w:pPr>
      <w:r w:rsidRPr="00F20A05">
        <w:rPr>
          <w:rFonts w:ascii="Arial" w:hAnsi="Arial" w:cs="Arial"/>
          <w:i/>
          <w:color w:val="000000"/>
          <w:sz w:val="20"/>
          <w:szCs w:val="20"/>
        </w:rPr>
        <w:lastRenderedPageBreak/>
        <w:t xml:space="preserve"> Desarrollar un plan de acción </w:t>
      </w:r>
    </w:p>
    <w:p w:rsidR="00EC0649" w:rsidRDefault="00EC0649" w:rsidP="00EC0649">
      <w:pPr>
        <w:autoSpaceDE w:val="0"/>
        <w:autoSpaceDN w:val="0"/>
        <w:adjustRightInd w:val="0"/>
        <w:spacing w:after="0" w:line="240" w:lineRule="auto"/>
        <w:rPr>
          <w:rFonts w:ascii="Arial" w:hAnsi="Arial" w:cs="Arial"/>
          <w:i/>
          <w:color w:val="000000"/>
          <w:sz w:val="20"/>
          <w:szCs w:val="20"/>
        </w:rPr>
      </w:pPr>
      <w:r w:rsidRPr="00F20A05">
        <w:rPr>
          <w:rFonts w:ascii="Arial" w:hAnsi="Arial" w:cs="Arial"/>
          <w:i/>
          <w:color w:val="000000"/>
          <w:sz w:val="20"/>
          <w:szCs w:val="20"/>
        </w:rPr>
        <w:t> Establecer un sistema de seguimiento y control de las acciones planteadas.</w:t>
      </w:r>
      <w:r>
        <w:rPr>
          <w:rFonts w:ascii="Arial" w:hAnsi="Arial" w:cs="Arial"/>
          <w:i/>
          <w:color w:val="000000"/>
          <w:sz w:val="20"/>
          <w:szCs w:val="20"/>
        </w:rPr>
        <w:t xml:space="preserve"> (…)”.</w:t>
      </w:r>
    </w:p>
    <w:p w:rsidR="00EC0649" w:rsidRDefault="00EC0649" w:rsidP="00EC0649">
      <w:pPr>
        <w:autoSpaceDE w:val="0"/>
        <w:autoSpaceDN w:val="0"/>
        <w:adjustRightInd w:val="0"/>
        <w:spacing w:after="0" w:line="240" w:lineRule="auto"/>
        <w:rPr>
          <w:rFonts w:ascii="Arial" w:hAnsi="Arial" w:cs="Arial"/>
          <w:i/>
          <w:color w:val="000000"/>
          <w:sz w:val="20"/>
          <w:szCs w:val="20"/>
        </w:rPr>
      </w:pPr>
    </w:p>
    <w:p w:rsidR="00EC0649" w:rsidRPr="00A71626" w:rsidRDefault="00EC0649" w:rsidP="00EC0649">
      <w:pPr>
        <w:spacing w:after="0" w:line="240" w:lineRule="auto"/>
        <w:jc w:val="both"/>
        <w:rPr>
          <w:rFonts w:ascii="Century Gothic" w:hAnsi="Century Gothic"/>
          <w:sz w:val="20"/>
          <w:szCs w:val="20"/>
        </w:rPr>
      </w:pPr>
      <w:r w:rsidRPr="006C1074">
        <w:rPr>
          <w:rFonts w:ascii="Century Gothic" w:hAnsi="Century Gothic"/>
          <w:sz w:val="20"/>
          <w:szCs w:val="20"/>
        </w:rPr>
        <w:t>Que</w:t>
      </w:r>
      <w:r w:rsidRPr="00A71626">
        <w:rPr>
          <w:rFonts w:ascii="Century Gothic" w:hAnsi="Century Gothic"/>
          <w:sz w:val="20"/>
          <w:szCs w:val="20"/>
        </w:rPr>
        <w:t>, el artículo 34 del Estatuto Institucional, estipula que el Consejo Universitario es el órgano colegiado superior y se constituye en la máxima instancia de gobierno de la Universidad Nacional de Chimborazo, en el marco de los principios de autonomía y cogobierno;</w:t>
      </w:r>
    </w:p>
    <w:p w:rsidR="00EC0649" w:rsidRPr="00A71626" w:rsidRDefault="00EC0649" w:rsidP="00EC0649">
      <w:pPr>
        <w:spacing w:after="0" w:line="240" w:lineRule="auto"/>
        <w:jc w:val="both"/>
        <w:rPr>
          <w:rFonts w:ascii="Century Gothic" w:hAnsi="Century Gothic"/>
          <w:sz w:val="20"/>
          <w:szCs w:val="20"/>
        </w:rPr>
      </w:pPr>
    </w:p>
    <w:p w:rsidR="00EC0649" w:rsidRDefault="00EC0649" w:rsidP="00EC0649">
      <w:pPr>
        <w:pStyle w:val="Encabezado"/>
        <w:jc w:val="both"/>
        <w:rPr>
          <w:rFonts w:ascii="Century Gothic" w:hAnsi="Century Gothic" w:cs="Times New Roman"/>
          <w:sz w:val="20"/>
          <w:szCs w:val="20"/>
          <w:lang w:val="es-419"/>
        </w:rPr>
      </w:pPr>
      <w:r w:rsidRPr="00994B8B">
        <w:rPr>
          <w:rFonts w:ascii="Century Gothic" w:hAnsi="Century Gothic"/>
          <w:sz w:val="20"/>
          <w:szCs w:val="20"/>
        </w:rPr>
        <w:t xml:space="preserve">Por consiguiente, en virtud de lo expresado, conforme lo determinado por el </w:t>
      </w:r>
      <w:r w:rsidRPr="00D84D05">
        <w:rPr>
          <w:rFonts w:ascii="Century Gothic" w:hAnsi="Century Gothic"/>
          <w:bCs/>
          <w:sz w:val="20"/>
          <w:szCs w:val="20"/>
        </w:rPr>
        <w:t>REGLAMENTO DE EVALUACIÓN EXTERNA CON FINES DE ACREDITACIÓN DE UNIVERSIDADES Y ESCUELAS POLITÉCNICAS</w:t>
      </w:r>
      <w:r>
        <w:rPr>
          <w:rFonts w:ascii="Century Gothic" w:hAnsi="Century Gothic"/>
          <w:bCs/>
          <w:sz w:val="20"/>
          <w:szCs w:val="20"/>
        </w:rPr>
        <w:t xml:space="preserve">; así como la </w:t>
      </w:r>
      <w:r w:rsidRPr="0084418B">
        <w:rPr>
          <w:rFonts w:ascii="Century Gothic" w:hAnsi="Century Gothic"/>
          <w:sz w:val="20"/>
          <w:szCs w:val="20"/>
        </w:rPr>
        <w:t xml:space="preserve">Resolución No. 152-SE-33-CACES-2020, aprobada en la Trigésima Tercera Sesión Extraordinaria del Pleno del Consejo de Aseguramiento de la Calidad de la Educación Superior, </w:t>
      </w:r>
      <w:r>
        <w:rPr>
          <w:rFonts w:ascii="Century Gothic" w:hAnsi="Century Gothic" w:cs="Arial"/>
          <w:sz w:val="20"/>
          <w:szCs w:val="20"/>
        </w:rPr>
        <w:t>la cual aprueba</w:t>
      </w:r>
      <w:r w:rsidRPr="00D84D05">
        <w:rPr>
          <w:rFonts w:ascii="Century Gothic" w:hAnsi="Century Gothic" w:cs="Arial"/>
          <w:sz w:val="20"/>
          <w:szCs w:val="20"/>
        </w:rPr>
        <w:t xml:space="preserve"> el “INFORME DE EVALUACIÓN EXTERNA DE LA UNIVERSIDAD NACIONAL DE CHIMBORAZO”, presentado por la Comisión de Universidades y Escuelas Politécnicas</w:t>
      </w:r>
      <w:r w:rsidRPr="00F20A05">
        <w:rPr>
          <w:rFonts w:ascii="Arial" w:hAnsi="Arial" w:cs="Arial"/>
          <w:i/>
          <w:sz w:val="20"/>
          <w:szCs w:val="20"/>
        </w:rPr>
        <w:t>,</w:t>
      </w:r>
      <w:r w:rsidRPr="00994B8B">
        <w:rPr>
          <w:rFonts w:ascii="Century Gothic" w:hAnsi="Century Gothic" w:cs="Times New Roman"/>
          <w:sz w:val="20"/>
          <w:szCs w:val="20"/>
          <w:lang w:val="es-419"/>
        </w:rPr>
        <w:t>así como</w:t>
      </w:r>
      <w:r>
        <w:rPr>
          <w:rFonts w:ascii="Century Gothic" w:hAnsi="Century Gothic" w:cs="Times New Roman"/>
          <w:sz w:val="20"/>
          <w:szCs w:val="20"/>
          <w:lang w:val="es-419"/>
        </w:rPr>
        <w:t>,</w:t>
      </w:r>
      <w:r w:rsidRPr="00994B8B">
        <w:rPr>
          <w:rFonts w:ascii="Century Gothic" w:hAnsi="Century Gothic" w:cs="Times New Roman"/>
          <w:sz w:val="20"/>
          <w:szCs w:val="20"/>
          <w:lang w:val="es-419"/>
        </w:rPr>
        <w:t xml:space="preserve"> las atribuciones estipuladas por el artículo 35 del Estatuto, el Consejo Universitario, en forma unánime, </w:t>
      </w:r>
      <w:r w:rsidRPr="00AD046A">
        <w:rPr>
          <w:rFonts w:ascii="Century Gothic" w:hAnsi="Century Gothic" w:cs="Times New Roman"/>
          <w:b/>
          <w:sz w:val="20"/>
          <w:szCs w:val="20"/>
          <w:lang w:val="es-419"/>
        </w:rPr>
        <w:t>RESUELVE</w:t>
      </w:r>
      <w:r w:rsidRPr="00994B8B">
        <w:rPr>
          <w:rFonts w:ascii="Century Gothic" w:hAnsi="Century Gothic" w:cs="Times New Roman"/>
          <w:sz w:val="20"/>
          <w:szCs w:val="20"/>
          <w:lang w:val="es-419"/>
        </w:rPr>
        <w:t xml:space="preserve">: </w:t>
      </w:r>
    </w:p>
    <w:p w:rsidR="00EC0649" w:rsidRDefault="00EC0649" w:rsidP="00EC0649">
      <w:pPr>
        <w:pStyle w:val="Encabezado"/>
        <w:jc w:val="both"/>
        <w:rPr>
          <w:rFonts w:ascii="Century Gothic" w:hAnsi="Century Gothic" w:cs="Times New Roman"/>
          <w:sz w:val="20"/>
          <w:szCs w:val="20"/>
          <w:lang w:val="es-419"/>
        </w:rPr>
      </w:pPr>
    </w:p>
    <w:p w:rsidR="00EC0649" w:rsidRDefault="00EC0649" w:rsidP="00EC0649">
      <w:pPr>
        <w:pStyle w:val="Encabezado"/>
        <w:jc w:val="both"/>
        <w:rPr>
          <w:rFonts w:ascii="Century Gothic" w:hAnsi="Century Gothic" w:cs="Times New Roman"/>
          <w:sz w:val="20"/>
          <w:szCs w:val="20"/>
          <w:lang w:val="es-419"/>
        </w:rPr>
      </w:pPr>
      <w:r w:rsidRPr="00886DDB">
        <w:rPr>
          <w:rFonts w:ascii="Century Gothic" w:hAnsi="Century Gothic" w:cs="Times New Roman"/>
          <w:b/>
          <w:sz w:val="20"/>
          <w:szCs w:val="20"/>
          <w:lang w:val="es-419"/>
        </w:rPr>
        <w:t>Primero: Aceptar</w:t>
      </w:r>
      <w:r>
        <w:rPr>
          <w:rFonts w:ascii="Century Gothic" w:hAnsi="Century Gothic" w:cs="Times New Roman"/>
          <w:sz w:val="20"/>
          <w:szCs w:val="20"/>
          <w:lang w:val="es-419"/>
        </w:rPr>
        <w:t>, el documento propuesto por la Dirección de Evaluación para el Aseguramiento de la Calidad Institucional.</w:t>
      </w:r>
    </w:p>
    <w:p w:rsidR="00EC0649" w:rsidRDefault="00EC0649" w:rsidP="00EC0649">
      <w:pPr>
        <w:pStyle w:val="Encabezado"/>
        <w:jc w:val="both"/>
        <w:rPr>
          <w:rFonts w:ascii="Century Gothic" w:hAnsi="Century Gothic" w:cs="Times New Roman"/>
          <w:sz w:val="20"/>
          <w:szCs w:val="20"/>
          <w:lang w:val="es-419"/>
        </w:rPr>
      </w:pPr>
    </w:p>
    <w:p w:rsidR="00EC0649" w:rsidRDefault="00EC0649" w:rsidP="00EC0649">
      <w:pPr>
        <w:pStyle w:val="Encabezado"/>
        <w:jc w:val="both"/>
        <w:rPr>
          <w:rFonts w:ascii="Century Gothic" w:hAnsi="Century Gothic" w:cs="Times New Roman"/>
          <w:sz w:val="20"/>
          <w:szCs w:val="20"/>
          <w:lang w:val="es-419"/>
        </w:rPr>
      </w:pPr>
      <w:r w:rsidRPr="00886DDB">
        <w:rPr>
          <w:rFonts w:ascii="Century Gothic" w:hAnsi="Century Gothic" w:cs="Times New Roman"/>
          <w:b/>
          <w:sz w:val="20"/>
          <w:szCs w:val="20"/>
          <w:lang w:val="es-419"/>
        </w:rPr>
        <w:t>Segundo:</w:t>
      </w:r>
      <w:r>
        <w:rPr>
          <w:rFonts w:ascii="Century Gothic" w:hAnsi="Century Gothic" w:cs="Times New Roman"/>
          <w:sz w:val="20"/>
          <w:szCs w:val="20"/>
          <w:lang w:val="es-419"/>
        </w:rPr>
        <w:t xml:space="preserve"> </w:t>
      </w:r>
      <w:r w:rsidRPr="00EC0649">
        <w:rPr>
          <w:rFonts w:ascii="Century Gothic" w:hAnsi="Century Gothic" w:cs="Times New Roman"/>
          <w:b/>
          <w:sz w:val="20"/>
          <w:szCs w:val="20"/>
          <w:lang w:val="es-419"/>
        </w:rPr>
        <w:t>Aprobar</w:t>
      </w:r>
      <w:r>
        <w:rPr>
          <w:rFonts w:ascii="Century Gothic" w:hAnsi="Century Gothic" w:cs="Times New Roman"/>
          <w:sz w:val="20"/>
          <w:szCs w:val="20"/>
          <w:lang w:val="es-419"/>
        </w:rPr>
        <w:t>, los componentes presentados con relación a la elaboración del Plan de Aseguramiento de la Calidad Institucional, así:</w:t>
      </w:r>
    </w:p>
    <w:p w:rsidR="00EC0649" w:rsidRPr="00D84D05" w:rsidRDefault="00EC0649" w:rsidP="00EC0649">
      <w:pPr>
        <w:numPr>
          <w:ilvl w:val="0"/>
          <w:numId w:val="24"/>
        </w:numPr>
        <w:spacing w:before="100" w:beforeAutospacing="1" w:after="100" w:afterAutospacing="1" w:line="240" w:lineRule="auto"/>
        <w:rPr>
          <w:rFonts w:ascii="Century Gothic" w:eastAsia="Times New Roman" w:hAnsi="Century Gothic" w:cs="Times New Roman"/>
          <w:sz w:val="20"/>
          <w:szCs w:val="20"/>
          <w:lang w:eastAsia="es-EC"/>
        </w:rPr>
      </w:pPr>
      <w:r w:rsidRPr="00D84D05">
        <w:rPr>
          <w:rFonts w:ascii="Century Gothic" w:eastAsia="Times New Roman" w:hAnsi="Century Gothic" w:cs="Times New Roman"/>
          <w:color w:val="333333"/>
          <w:sz w:val="20"/>
          <w:szCs w:val="20"/>
          <w:bdr w:val="none" w:sz="0" w:space="0" w:color="auto" w:frame="1"/>
          <w:lang w:eastAsia="es-EC"/>
        </w:rPr>
        <w:t>Cronograma del Plan de Aseguramiento</w:t>
      </w:r>
      <w:r w:rsidRPr="00D84D05">
        <w:rPr>
          <w:rFonts w:ascii="Century Gothic" w:eastAsia="Times New Roman" w:hAnsi="Century Gothic" w:cs="Times New Roman"/>
          <w:sz w:val="20"/>
          <w:szCs w:val="20"/>
          <w:lang w:eastAsia="es-EC"/>
        </w:rPr>
        <w:t> </w:t>
      </w:r>
    </w:p>
    <w:p w:rsidR="00EC0649" w:rsidRPr="00D84D05" w:rsidRDefault="00EC0649" w:rsidP="00EC0649">
      <w:pPr>
        <w:numPr>
          <w:ilvl w:val="0"/>
          <w:numId w:val="24"/>
        </w:numPr>
        <w:spacing w:before="100" w:beforeAutospacing="1" w:after="100" w:afterAutospacing="1" w:line="240" w:lineRule="auto"/>
        <w:rPr>
          <w:rFonts w:ascii="Century Gothic" w:eastAsia="Times New Roman" w:hAnsi="Century Gothic" w:cs="Times New Roman"/>
          <w:sz w:val="20"/>
          <w:szCs w:val="20"/>
          <w:lang w:eastAsia="es-EC"/>
        </w:rPr>
      </w:pPr>
      <w:r w:rsidRPr="00D84D05">
        <w:rPr>
          <w:rFonts w:ascii="Century Gothic" w:eastAsia="Times New Roman" w:hAnsi="Century Gothic" w:cs="Times New Roman"/>
          <w:color w:val="333333"/>
          <w:sz w:val="20"/>
          <w:szCs w:val="20"/>
          <w:bdr w:val="none" w:sz="0" w:space="0" w:color="auto" w:frame="1"/>
          <w:lang w:eastAsia="es-EC"/>
        </w:rPr>
        <w:t>Equipos de trabajo Plan de Aseguramiento</w:t>
      </w:r>
      <w:r w:rsidRPr="00D84D05">
        <w:rPr>
          <w:rFonts w:ascii="Century Gothic" w:eastAsia="Times New Roman" w:hAnsi="Century Gothic" w:cs="Times New Roman"/>
          <w:sz w:val="20"/>
          <w:szCs w:val="20"/>
          <w:lang w:val="es-ES" w:eastAsia="es-EC"/>
        </w:rPr>
        <w:t> </w:t>
      </w:r>
    </w:p>
    <w:p w:rsidR="00EC0649" w:rsidRPr="00D84D05" w:rsidRDefault="00EC0649" w:rsidP="00EC0649">
      <w:pPr>
        <w:numPr>
          <w:ilvl w:val="0"/>
          <w:numId w:val="24"/>
        </w:numPr>
        <w:spacing w:before="100" w:beforeAutospacing="1" w:after="100" w:afterAutospacing="1" w:line="240" w:lineRule="auto"/>
        <w:rPr>
          <w:rFonts w:ascii="Century Gothic" w:eastAsia="Times New Roman" w:hAnsi="Century Gothic" w:cs="Times New Roman"/>
          <w:sz w:val="20"/>
          <w:szCs w:val="20"/>
          <w:lang w:eastAsia="es-EC"/>
        </w:rPr>
      </w:pPr>
      <w:r w:rsidRPr="00D84D05">
        <w:rPr>
          <w:rFonts w:ascii="Century Gothic" w:eastAsia="Times New Roman" w:hAnsi="Century Gothic" w:cs="Times New Roman"/>
          <w:color w:val="333333"/>
          <w:sz w:val="20"/>
          <w:szCs w:val="20"/>
          <w:bdr w:val="none" w:sz="0" w:space="0" w:color="auto" w:frame="1"/>
          <w:lang w:eastAsia="es-EC"/>
        </w:rPr>
        <w:t xml:space="preserve">Metodología para la elaboración del Plan de Aseguramiento de la Calidad Institucional. </w:t>
      </w:r>
      <w:r w:rsidRPr="00D84D05">
        <w:rPr>
          <w:rFonts w:ascii="Century Gothic" w:eastAsia="Times New Roman" w:hAnsi="Century Gothic" w:cs="Times New Roman"/>
          <w:sz w:val="20"/>
          <w:szCs w:val="20"/>
          <w:lang w:val="es-ES" w:eastAsia="es-EC"/>
        </w:rPr>
        <w:t> </w:t>
      </w:r>
    </w:p>
    <w:p w:rsidR="00EC0649" w:rsidRDefault="00EC0649" w:rsidP="00EC0649">
      <w:pPr>
        <w:spacing w:after="0" w:line="240" w:lineRule="auto"/>
        <w:jc w:val="both"/>
        <w:rPr>
          <w:rFonts w:ascii="Century Gothic" w:eastAsia="Times New Roman" w:hAnsi="Century Gothic" w:cs="Times New Roman"/>
          <w:color w:val="333333"/>
          <w:sz w:val="20"/>
          <w:szCs w:val="20"/>
          <w:bdr w:val="none" w:sz="0" w:space="0" w:color="auto" w:frame="1"/>
          <w:lang w:eastAsia="es-EC"/>
        </w:rPr>
      </w:pPr>
      <w:r w:rsidRPr="00D84D05">
        <w:rPr>
          <w:rFonts w:ascii="Century Gothic" w:eastAsia="Times New Roman" w:hAnsi="Century Gothic" w:cs="Times New Roman"/>
          <w:color w:val="333333"/>
          <w:sz w:val="20"/>
          <w:szCs w:val="20"/>
          <w:bdr w:val="none" w:sz="0" w:space="0" w:color="auto" w:frame="1"/>
          <w:lang w:eastAsia="es-EC"/>
        </w:rPr>
        <w:t>La Metodología para la elaboración del Plan de Aseguramiento de la Calidad Institucional, corresponde a la composición de los dos primeros elementos</w:t>
      </w:r>
      <w:r>
        <w:rPr>
          <w:rFonts w:ascii="Century Gothic" w:eastAsia="Times New Roman" w:hAnsi="Century Gothic" w:cs="Times New Roman"/>
          <w:color w:val="333333"/>
          <w:sz w:val="20"/>
          <w:szCs w:val="20"/>
          <w:bdr w:val="none" w:sz="0" w:space="0" w:color="auto" w:frame="1"/>
          <w:lang w:eastAsia="es-EC"/>
        </w:rPr>
        <w:t>.</w:t>
      </w:r>
    </w:p>
    <w:p w:rsidR="00EC0649" w:rsidRDefault="00EC0649" w:rsidP="00EC0649">
      <w:pPr>
        <w:spacing w:after="0" w:line="240" w:lineRule="auto"/>
        <w:rPr>
          <w:rFonts w:ascii="Century Gothic" w:eastAsia="Times New Roman" w:hAnsi="Century Gothic" w:cs="Times New Roman"/>
          <w:color w:val="333333"/>
          <w:sz w:val="20"/>
          <w:szCs w:val="20"/>
          <w:bdr w:val="none" w:sz="0" w:space="0" w:color="auto" w:frame="1"/>
          <w:lang w:eastAsia="es-EC"/>
        </w:rPr>
      </w:pPr>
    </w:p>
    <w:p w:rsidR="00EC0649" w:rsidRPr="00D84D05" w:rsidRDefault="00EC0649" w:rsidP="00EC0649">
      <w:pPr>
        <w:spacing w:after="0" w:line="240" w:lineRule="auto"/>
        <w:jc w:val="both"/>
        <w:rPr>
          <w:rFonts w:ascii="Century Gothic" w:eastAsia="Times New Roman" w:hAnsi="Century Gothic" w:cs="Calibri"/>
          <w:sz w:val="20"/>
          <w:szCs w:val="20"/>
          <w:lang w:eastAsia="es-EC"/>
        </w:rPr>
      </w:pPr>
      <w:r w:rsidRPr="00886DDB">
        <w:rPr>
          <w:rFonts w:ascii="Century Gothic" w:eastAsia="Times New Roman" w:hAnsi="Century Gothic" w:cs="Times New Roman"/>
          <w:b/>
          <w:color w:val="333333"/>
          <w:sz w:val="20"/>
          <w:szCs w:val="20"/>
          <w:bdr w:val="none" w:sz="0" w:space="0" w:color="auto" w:frame="1"/>
          <w:lang w:eastAsia="es-EC"/>
        </w:rPr>
        <w:t>Tercero: Disponer</w:t>
      </w:r>
      <w:r>
        <w:rPr>
          <w:rFonts w:ascii="Century Gothic" w:eastAsia="Times New Roman" w:hAnsi="Century Gothic" w:cs="Times New Roman"/>
          <w:color w:val="333333"/>
          <w:sz w:val="20"/>
          <w:szCs w:val="20"/>
          <w:bdr w:val="none" w:sz="0" w:space="0" w:color="auto" w:frame="1"/>
          <w:lang w:eastAsia="es-EC"/>
        </w:rPr>
        <w:t xml:space="preserve">, la aplicación y ejecución de la presente resolución. Para lo cual, las diferentes instancias de autoridad, académicas y </w:t>
      </w:r>
      <w:r w:rsidRPr="00D84D05">
        <w:rPr>
          <w:rFonts w:ascii="Century Gothic" w:eastAsia="Times New Roman" w:hAnsi="Century Gothic" w:cs="Times New Roman"/>
          <w:color w:val="333333"/>
          <w:sz w:val="20"/>
          <w:szCs w:val="20"/>
          <w:bdr w:val="none" w:sz="0" w:space="0" w:color="auto" w:frame="1"/>
          <w:lang w:eastAsia="es-EC"/>
        </w:rPr>
        <w:t>administrativas</w:t>
      </w:r>
      <w:r>
        <w:rPr>
          <w:rFonts w:ascii="Century Gothic" w:eastAsia="Times New Roman" w:hAnsi="Century Gothic" w:cs="Times New Roman"/>
          <w:color w:val="333333"/>
          <w:sz w:val="20"/>
          <w:szCs w:val="20"/>
          <w:bdr w:val="none" w:sz="0" w:space="0" w:color="auto" w:frame="1"/>
          <w:lang w:eastAsia="es-EC"/>
        </w:rPr>
        <w:t>, proporcionarán, en forma obligatoria, toda la colaboración y cooperación que se requiera.</w:t>
      </w:r>
    </w:p>
    <w:p w:rsidR="00EC0649" w:rsidRPr="00397C5A" w:rsidRDefault="00EC0649" w:rsidP="00EC0649">
      <w:pPr>
        <w:spacing w:after="0" w:line="240" w:lineRule="auto"/>
        <w:rPr>
          <w:rFonts w:ascii="Century Gothic" w:hAnsi="Century Gothic"/>
          <w:b/>
          <w:sz w:val="20"/>
          <w:szCs w:val="20"/>
        </w:rPr>
      </w:pPr>
    </w:p>
    <w:p w:rsidR="007C12EC" w:rsidRPr="00F252DE" w:rsidRDefault="007C12EC" w:rsidP="00787F7F">
      <w:pPr>
        <w:spacing w:after="0" w:line="240" w:lineRule="auto"/>
        <w:jc w:val="both"/>
        <w:rPr>
          <w:rFonts w:ascii="Century Gothic" w:hAnsi="Century Gothic"/>
          <w:sz w:val="20"/>
          <w:szCs w:val="20"/>
          <w:lang w:val="es-ES"/>
        </w:rPr>
      </w:pPr>
      <w:r w:rsidRPr="00F252DE">
        <w:rPr>
          <w:rFonts w:ascii="Century Gothic" w:hAnsi="Century Gothic"/>
          <w:sz w:val="20"/>
          <w:szCs w:val="20"/>
          <w:lang w:val="es-ES"/>
        </w:rPr>
        <w:t>Con sustento en los principios de eficacia, eficiencia y calidad, que rigen la actuación de la Administración Pública; en aplicación de la facultad dispuesta en el art. 90 del Código Orgánico Administrativo, se procede a notificar con la presente resolución, a los correos electrónicos respectivos.</w:t>
      </w:r>
    </w:p>
    <w:p w:rsidR="007C12EC" w:rsidRPr="00F252DE" w:rsidRDefault="007C12EC" w:rsidP="007C12EC">
      <w:pPr>
        <w:spacing w:after="0" w:line="240" w:lineRule="auto"/>
        <w:jc w:val="both"/>
        <w:rPr>
          <w:rFonts w:ascii="Century Gothic" w:eastAsia="Times New Roman" w:hAnsi="Century Gothic" w:cs="Arial"/>
          <w:sz w:val="20"/>
          <w:szCs w:val="20"/>
          <w:lang w:eastAsia="es-EC"/>
        </w:rPr>
      </w:pPr>
      <w:r w:rsidRPr="00F252DE">
        <w:rPr>
          <w:rFonts w:ascii="Century Gothic" w:hAnsi="Century Gothic"/>
          <w:noProof/>
          <w:sz w:val="20"/>
          <w:szCs w:val="20"/>
          <w:lang w:eastAsia="es-EC"/>
        </w:rPr>
        <w:drawing>
          <wp:anchor distT="0" distB="0" distL="114300" distR="114300" simplePos="0" relativeHeight="251659264" behindDoc="1" locked="0" layoutInCell="1" allowOverlap="1" wp14:anchorId="3E70D2B2" wp14:editId="094FCF88">
            <wp:simplePos x="0" y="0"/>
            <wp:positionH relativeFrom="margin">
              <wp:posOffset>-588010</wp:posOffset>
            </wp:positionH>
            <wp:positionV relativeFrom="paragraph">
              <wp:posOffset>95885</wp:posOffset>
            </wp:positionV>
            <wp:extent cx="2207895" cy="1626870"/>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padre.jf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7895" cy="1626870"/>
                    </a:xfrm>
                    <a:prstGeom prst="rect">
                      <a:avLst/>
                    </a:prstGeom>
                  </pic:spPr>
                </pic:pic>
              </a:graphicData>
            </a:graphic>
            <wp14:sizeRelH relativeFrom="margin">
              <wp14:pctWidth>0</wp14:pctWidth>
            </wp14:sizeRelH>
            <wp14:sizeRelV relativeFrom="margin">
              <wp14:pctHeight>0</wp14:pctHeight>
            </wp14:sizeRelV>
          </wp:anchor>
        </w:drawing>
      </w:r>
    </w:p>
    <w:p w:rsidR="007C12EC" w:rsidRPr="00F252DE" w:rsidRDefault="007C12EC" w:rsidP="007C12EC">
      <w:pPr>
        <w:spacing w:after="0" w:line="240" w:lineRule="auto"/>
        <w:jc w:val="both"/>
        <w:rPr>
          <w:rFonts w:ascii="Century Gothic" w:eastAsia="Times New Roman" w:hAnsi="Century Gothic" w:cs="Arial"/>
          <w:sz w:val="20"/>
          <w:szCs w:val="20"/>
          <w:lang w:eastAsia="es-EC"/>
        </w:rPr>
      </w:pPr>
      <w:r w:rsidRPr="00F252DE">
        <w:rPr>
          <w:rFonts w:ascii="Century Gothic" w:eastAsia="Times New Roman" w:hAnsi="Century Gothic" w:cs="Arial"/>
          <w:sz w:val="20"/>
          <w:szCs w:val="20"/>
          <w:lang w:eastAsia="es-EC"/>
        </w:rPr>
        <w:t>Atentamente,</w:t>
      </w:r>
    </w:p>
    <w:p w:rsidR="007C12EC" w:rsidRPr="00F252DE" w:rsidRDefault="007C12EC" w:rsidP="007C12EC">
      <w:pPr>
        <w:spacing w:after="0" w:line="240" w:lineRule="auto"/>
        <w:jc w:val="both"/>
        <w:rPr>
          <w:rFonts w:ascii="Century Gothic" w:eastAsia="Times New Roman" w:hAnsi="Century Gothic" w:cs="Arial"/>
          <w:sz w:val="20"/>
          <w:szCs w:val="20"/>
          <w:lang w:eastAsia="es-EC"/>
        </w:rPr>
      </w:pPr>
    </w:p>
    <w:p w:rsidR="007C12EC" w:rsidRPr="00F252DE" w:rsidRDefault="007C12EC" w:rsidP="007C12EC">
      <w:pPr>
        <w:spacing w:after="0" w:line="240" w:lineRule="auto"/>
        <w:jc w:val="both"/>
        <w:rPr>
          <w:rFonts w:ascii="Century Gothic" w:eastAsia="Times New Roman" w:hAnsi="Century Gothic" w:cs="Arial"/>
          <w:sz w:val="20"/>
          <w:szCs w:val="20"/>
          <w:lang w:eastAsia="es-EC"/>
        </w:rPr>
      </w:pPr>
    </w:p>
    <w:p w:rsidR="007C12EC" w:rsidRPr="00F252DE" w:rsidRDefault="007C12EC" w:rsidP="007C12EC">
      <w:pPr>
        <w:spacing w:after="0" w:line="240" w:lineRule="auto"/>
        <w:jc w:val="both"/>
        <w:rPr>
          <w:rFonts w:ascii="Century Gothic" w:eastAsia="Times New Roman" w:hAnsi="Century Gothic" w:cs="Arial"/>
          <w:sz w:val="20"/>
          <w:szCs w:val="20"/>
          <w:lang w:eastAsia="es-EC"/>
        </w:rPr>
      </w:pPr>
    </w:p>
    <w:p w:rsidR="007C12EC" w:rsidRPr="00F252DE" w:rsidRDefault="007C12EC" w:rsidP="007C12EC">
      <w:pPr>
        <w:spacing w:after="0" w:line="240" w:lineRule="auto"/>
        <w:jc w:val="both"/>
        <w:rPr>
          <w:rFonts w:ascii="Century Gothic" w:eastAsia="Times New Roman" w:hAnsi="Century Gothic" w:cs="Arial"/>
          <w:sz w:val="20"/>
          <w:szCs w:val="20"/>
          <w:lang w:eastAsia="es-EC"/>
        </w:rPr>
      </w:pPr>
    </w:p>
    <w:p w:rsidR="007C12EC" w:rsidRPr="00F252DE" w:rsidRDefault="007C12EC" w:rsidP="007C12EC">
      <w:pPr>
        <w:spacing w:after="0" w:line="240" w:lineRule="auto"/>
        <w:jc w:val="both"/>
        <w:rPr>
          <w:rFonts w:ascii="Century Gothic" w:eastAsia="Times New Roman" w:hAnsi="Century Gothic" w:cs="Arial"/>
          <w:sz w:val="20"/>
          <w:szCs w:val="20"/>
          <w:lang w:eastAsia="es-EC"/>
        </w:rPr>
      </w:pPr>
    </w:p>
    <w:p w:rsidR="007C12EC" w:rsidRPr="00F252DE" w:rsidRDefault="007C12EC" w:rsidP="007C12EC">
      <w:pPr>
        <w:spacing w:after="0" w:line="240" w:lineRule="auto"/>
        <w:jc w:val="both"/>
        <w:rPr>
          <w:rFonts w:ascii="Century Gothic" w:eastAsia="Times New Roman" w:hAnsi="Century Gothic" w:cs="Arial"/>
          <w:sz w:val="20"/>
          <w:szCs w:val="20"/>
          <w:lang w:eastAsia="es-EC"/>
        </w:rPr>
      </w:pPr>
      <w:r w:rsidRPr="00F252DE">
        <w:rPr>
          <w:rFonts w:ascii="Century Gothic" w:eastAsia="Times New Roman" w:hAnsi="Century Gothic" w:cs="Arial"/>
          <w:sz w:val="20"/>
          <w:szCs w:val="20"/>
          <w:lang w:eastAsia="es-EC"/>
        </w:rPr>
        <w:t>Dr. Arturo Guerrero Heredia.,</w:t>
      </w:r>
    </w:p>
    <w:p w:rsidR="007C12EC" w:rsidRPr="00F252DE" w:rsidRDefault="007C12EC" w:rsidP="007C12EC">
      <w:pPr>
        <w:spacing w:after="0" w:line="240" w:lineRule="auto"/>
        <w:jc w:val="both"/>
        <w:rPr>
          <w:rFonts w:ascii="Century Gothic" w:eastAsia="Times New Roman" w:hAnsi="Century Gothic" w:cs="Arial"/>
          <w:b/>
          <w:sz w:val="20"/>
          <w:szCs w:val="20"/>
          <w:lang w:eastAsia="es-EC"/>
        </w:rPr>
      </w:pPr>
      <w:r w:rsidRPr="00F252DE">
        <w:rPr>
          <w:rFonts w:ascii="Century Gothic" w:eastAsia="Times New Roman" w:hAnsi="Century Gothic" w:cs="Arial"/>
          <w:b/>
          <w:sz w:val="20"/>
          <w:szCs w:val="20"/>
          <w:lang w:eastAsia="es-EC"/>
        </w:rPr>
        <w:t>SECRETARIO GENERAL</w:t>
      </w:r>
    </w:p>
    <w:p w:rsidR="007C12EC" w:rsidRPr="00DA5615" w:rsidRDefault="007C12EC" w:rsidP="007C12EC">
      <w:pPr>
        <w:spacing w:after="0" w:line="240" w:lineRule="auto"/>
        <w:rPr>
          <w:rFonts w:ascii="Century Gothic" w:hAnsi="Century Gothic"/>
          <w:b/>
          <w:sz w:val="18"/>
          <w:szCs w:val="18"/>
        </w:rPr>
      </w:pPr>
      <w:r w:rsidRPr="00DA5615">
        <w:rPr>
          <w:rFonts w:ascii="Century Gothic" w:hAnsi="Century Gothic"/>
          <w:b/>
          <w:sz w:val="18"/>
          <w:szCs w:val="18"/>
        </w:rPr>
        <w:t xml:space="preserve"> </w:t>
      </w:r>
      <w:bookmarkStart w:id="0" w:name="_GoBack"/>
      <w:bookmarkEnd w:id="0"/>
    </w:p>
    <w:p w:rsidR="007C12EC" w:rsidRDefault="007C12EC" w:rsidP="007C12EC">
      <w:pPr>
        <w:spacing w:after="0" w:line="240" w:lineRule="auto"/>
        <w:rPr>
          <w:rFonts w:ascii="Century Gothic" w:hAnsi="Century Gothic"/>
          <w:b/>
          <w:sz w:val="16"/>
          <w:szCs w:val="16"/>
        </w:rPr>
      </w:pPr>
    </w:p>
    <w:p w:rsidR="007C12EC" w:rsidRDefault="007C12EC" w:rsidP="007C12EC">
      <w:pPr>
        <w:spacing w:after="0" w:line="240" w:lineRule="auto"/>
        <w:rPr>
          <w:rFonts w:ascii="Century Gothic" w:hAnsi="Century Gothic"/>
          <w:b/>
          <w:sz w:val="16"/>
          <w:szCs w:val="16"/>
        </w:rPr>
      </w:pPr>
    </w:p>
    <w:p w:rsidR="007C12EC" w:rsidRPr="00607EF9" w:rsidRDefault="007C12EC" w:rsidP="007C12EC">
      <w:pPr>
        <w:spacing w:after="0" w:line="240" w:lineRule="auto"/>
        <w:rPr>
          <w:rFonts w:ascii="Century Gothic" w:hAnsi="Century Gothic"/>
          <w:b/>
          <w:sz w:val="16"/>
          <w:szCs w:val="16"/>
        </w:rPr>
      </w:pPr>
      <w:r w:rsidRPr="00607EF9">
        <w:rPr>
          <w:rFonts w:ascii="Century Gothic" w:hAnsi="Century Gothic"/>
          <w:b/>
          <w:sz w:val="16"/>
          <w:szCs w:val="16"/>
        </w:rPr>
        <w:t>Anexos:</w:t>
      </w:r>
    </w:p>
    <w:p w:rsidR="007C12EC" w:rsidRPr="009937B8" w:rsidRDefault="007C12EC" w:rsidP="007C12EC">
      <w:pPr>
        <w:spacing w:after="0" w:line="240" w:lineRule="auto"/>
        <w:rPr>
          <w:rFonts w:ascii="Century Gothic" w:hAnsi="Century Gothic"/>
          <w:b/>
          <w:sz w:val="16"/>
          <w:szCs w:val="16"/>
        </w:rPr>
      </w:pPr>
      <w:r>
        <w:rPr>
          <w:rFonts w:ascii="Century Gothic" w:hAnsi="Century Gothic"/>
          <w:b/>
          <w:sz w:val="16"/>
          <w:szCs w:val="16"/>
        </w:rPr>
        <w:t>C</w:t>
      </w:r>
      <w:r w:rsidRPr="009937B8">
        <w:rPr>
          <w:rFonts w:ascii="Century Gothic" w:hAnsi="Century Gothic"/>
          <w:b/>
          <w:sz w:val="16"/>
          <w:szCs w:val="16"/>
        </w:rPr>
        <w:t xml:space="preserve">.C.  </w:t>
      </w:r>
      <w:r>
        <w:rPr>
          <w:rFonts w:ascii="Century Gothic" w:hAnsi="Century Gothic"/>
          <w:b/>
          <w:sz w:val="16"/>
          <w:szCs w:val="16"/>
        </w:rPr>
        <w:t xml:space="preserve">      </w:t>
      </w:r>
      <w:r w:rsidRPr="009937B8">
        <w:rPr>
          <w:rFonts w:ascii="Century Gothic" w:hAnsi="Century Gothic"/>
          <w:b/>
          <w:sz w:val="16"/>
          <w:szCs w:val="16"/>
        </w:rPr>
        <w:t>Archivo</w:t>
      </w:r>
    </w:p>
    <w:p w:rsidR="00A62E6E" w:rsidRPr="007C12EC" w:rsidRDefault="007C12EC" w:rsidP="00502BAD">
      <w:pPr>
        <w:tabs>
          <w:tab w:val="center" w:pos="4607"/>
          <w:tab w:val="left" w:pos="5004"/>
        </w:tabs>
        <w:spacing w:after="0" w:line="240" w:lineRule="auto"/>
      </w:pPr>
      <w:proofErr w:type="spellStart"/>
      <w:r w:rsidRPr="009937B8">
        <w:rPr>
          <w:rFonts w:ascii="Century Gothic" w:hAnsi="Century Gothic"/>
          <w:b/>
          <w:sz w:val="14"/>
          <w:szCs w:val="14"/>
        </w:rPr>
        <w:t>Elab</w:t>
      </w:r>
      <w:proofErr w:type="spellEnd"/>
      <w:r w:rsidRPr="009937B8">
        <w:rPr>
          <w:rFonts w:ascii="Century Gothic" w:hAnsi="Century Gothic"/>
          <w:b/>
          <w:sz w:val="14"/>
          <w:szCs w:val="14"/>
        </w:rPr>
        <w:t>:</w:t>
      </w:r>
      <w:r>
        <w:rPr>
          <w:rFonts w:ascii="Century Gothic" w:hAnsi="Century Gothic"/>
          <w:b/>
          <w:sz w:val="14"/>
          <w:szCs w:val="14"/>
        </w:rPr>
        <w:t xml:space="preserve">         Dr. Arturo Guerrero Heredia</w:t>
      </w:r>
    </w:p>
    <w:sectPr w:rsidR="00A62E6E" w:rsidRPr="007C12EC" w:rsidSect="00502BAD">
      <w:headerReference w:type="default" r:id="rId9"/>
      <w:footerReference w:type="default" r:id="rId10"/>
      <w:pgSz w:w="11906" w:h="16838"/>
      <w:pgMar w:top="1701" w:right="99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405" w:rsidRDefault="00702405" w:rsidP="006F4A47">
      <w:pPr>
        <w:spacing w:after="0" w:line="240" w:lineRule="auto"/>
      </w:pPr>
      <w:r>
        <w:separator/>
      </w:r>
    </w:p>
  </w:endnote>
  <w:endnote w:type="continuationSeparator" w:id="0">
    <w:p w:rsidR="00702405" w:rsidRDefault="00702405" w:rsidP="006F4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Light (Títulos)">
    <w:charset w:val="00"/>
    <w:family w:val="roman"/>
    <w:pitch w:val="default"/>
  </w:font>
  <w:font w:name="Calibri">
    <w:altName w:val="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aleway Light">
    <w:altName w:val="Trebuchet MS"/>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E4C" w:rsidRPr="00B05BA2" w:rsidRDefault="00415E4C" w:rsidP="00415E4C">
    <w:pPr>
      <w:pStyle w:val="Piedepgina"/>
      <w:pBdr>
        <w:top w:val="thinThickSmallGap" w:sz="24" w:space="1" w:color="823B0B" w:themeColor="accent2" w:themeShade="7F"/>
      </w:pBdr>
      <w:rPr>
        <w:rFonts w:ascii="Arial Black" w:hAnsi="Arial Black"/>
        <w:sz w:val="14"/>
        <w:szCs w:val="14"/>
      </w:rPr>
    </w:pPr>
    <w:r>
      <w:rPr>
        <w:rFonts w:ascii="Arial Black" w:hAnsi="Arial Black"/>
        <w:sz w:val="14"/>
        <w:szCs w:val="14"/>
      </w:rPr>
      <w:t xml:space="preserve">Resolución  No. </w:t>
    </w:r>
    <w:r w:rsidR="008111AB">
      <w:rPr>
        <w:rFonts w:ascii="Arial Black" w:hAnsi="Arial Black"/>
        <w:sz w:val="14"/>
        <w:szCs w:val="14"/>
      </w:rPr>
      <w:t>0</w:t>
    </w:r>
    <w:r w:rsidR="006013CD">
      <w:rPr>
        <w:rFonts w:ascii="Arial Black" w:hAnsi="Arial Black"/>
        <w:sz w:val="14"/>
        <w:szCs w:val="14"/>
      </w:rPr>
      <w:t>1</w:t>
    </w:r>
    <w:r w:rsidR="00DA5615">
      <w:rPr>
        <w:rFonts w:ascii="Arial Black" w:hAnsi="Arial Black"/>
        <w:sz w:val="14"/>
        <w:szCs w:val="14"/>
      </w:rPr>
      <w:t>7</w:t>
    </w:r>
    <w:r w:rsidR="00EC0649">
      <w:rPr>
        <w:rFonts w:ascii="Arial Black" w:hAnsi="Arial Black"/>
        <w:sz w:val="14"/>
        <w:szCs w:val="14"/>
      </w:rPr>
      <w:t>7</w:t>
    </w:r>
    <w:r w:rsidR="008111AB">
      <w:rPr>
        <w:rFonts w:ascii="Arial Black" w:hAnsi="Arial Black"/>
        <w:sz w:val="14"/>
        <w:szCs w:val="14"/>
      </w:rPr>
      <w:t>-</w:t>
    </w:r>
    <w:r>
      <w:rPr>
        <w:rFonts w:ascii="Arial Black" w:hAnsi="Arial Black"/>
        <w:sz w:val="14"/>
        <w:szCs w:val="14"/>
      </w:rPr>
      <w:t>CU-UNACH-DESN</w:t>
    </w:r>
    <w:r w:rsidR="00EC0649">
      <w:rPr>
        <w:rFonts w:ascii="Arial Black" w:hAnsi="Arial Black"/>
        <w:sz w:val="14"/>
        <w:szCs w:val="14"/>
      </w:rPr>
      <w:t>-23</w:t>
    </w:r>
    <w:r w:rsidR="00213E5D">
      <w:rPr>
        <w:rFonts w:ascii="Arial Black" w:hAnsi="Arial Black"/>
        <w:sz w:val="14"/>
        <w:szCs w:val="14"/>
      </w:rPr>
      <w:t>-11</w:t>
    </w:r>
    <w:r>
      <w:rPr>
        <w:rFonts w:ascii="Arial Black" w:hAnsi="Arial Black"/>
        <w:sz w:val="14"/>
        <w:szCs w:val="14"/>
      </w:rPr>
      <w:t>-2020:</w:t>
    </w:r>
    <w:r w:rsidRPr="00B05BA2">
      <w:rPr>
        <w:rFonts w:ascii="Arial Black" w:hAnsi="Arial Black"/>
        <w:sz w:val="14"/>
        <w:szCs w:val="14"/>
      </w:rPr>
      <w:ptab w:relativeTo="margin" w:alignment="right" w:leader="none"/>
    </w:r>
    <w:r w:rsidRPr="00B05BA2">
      <w:rPr>
        <w:rFonts w:ascii="Arial Black" w:hAnsi="Arial Black"/>
        <w:sz w:val="14"/>
        <w:szCs w:val="14"/>
      </w:rPr>
      <w:t xml:space="preserve">Página </w:t>
    </w:r>
    <w:r w:rsidRPr="00B05BA2">
      <w:rPr>
        <w:rFonts w:ascii="Arial Black" w:hAnsi="Arial Black"/>
        <w:sz w:val="14"/>
        <w:szCs w:val="14"/>
      </w:rPr>
      <w:fldChar w:fldCharType="begin"/>
    </w:r>
    <w:r w:rsidRPr="00B05BA2">
      <w:rPr>
        <w:rFonts w:ascii="Arial Black" w:hAnsi="Arial Black"/>
        <w:sz w:val="14"/>
        <w:szCs w:val="14"/>
      </w:rPr>
      <w:instrText xml:space="preserve"> PAGE   \* MERGEFORMAT </w:instrText>
    </w:r>
    <w:r w:rsidRPr="00B05BA2">
      <w:rPr>
        <w:rFonts w:ascii="Arial Black" w:hAnsi="Arial Black"/>
        <w:sz w:val="14"/>
        <w:szCs w:val="14"/>
      </w:rPr>
      <w:fldChar w:fldCharType="separate"/>
    </w:r>
    <w:r w:rsidR="00EC0649">
      <w:rPr>
        <w:rFonts w:ascii="Arial Black" w:hAnsi="Arial Black"/>
        <w:noProof/>
        <w:sz w:val="14"/>
        <w:szCs w:val="14"/>
      </w:rPr>
      <w:t>3</w:t>
    </w:r>
    <w:r w:rsidRPr="00B05BA2">
      <w:rPr>
        <w:rFonts w:ascii="Arial Black" w:hAnsi="Arial Black"/>
        <w:sz w:val="14"/>
        <w:szCs w:val="14"/>
      </w:rPr>
      <w:fldChar w:fldCharType="end"/>
    </w:r>
    <w:r w:rsidR="00CF0EC3">
      <w:rPr>
        <w:rFonts w:ascii="Arial Black" w:hAnsi="Arial Black"/>
        <w:sz w:val="14"/>
        <w:szCs w:val="14"/>
      </w:rPr>
      <w:t xml:space="preserve"> de </w:t>
    </w:r>
    <w:r w:rsidR="00C634E6">
      <w:rPr>
        <w:rFonts w:ascii="Arial Black" w:hAnsi="Arial Black"/>
        <w:sz w:val="14"/>
        <w:szCs w:val="14"/>
      </w:rPr>
      <w:t>3</w:t>
    </w:r>
  </w:p>
  <w:p w:rsidR="00415E4C" w:rsidRDefault="00415E4C">
    <w:pPr>
      <w:pStyle w:val="Piedepgina"/>
    </w:pPr>
  </w:p>
  <w:p w:rsidR="00415E4C" w:rsidRDefault="00415E4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405" w:rsidRDefault="00702405" w:rsidP="006F4A47">
      <w:pPr>
        <w:spacing w:after="0" w:line="240" w:lineRule="auto"/>
      </w:pPr>
      <w:r>
        <w:separator/>
      </w:r>
    </w:p>
  </w:footnote>
  <w:footnote w:type="continuationSeparator" w:id="0">
    <w:p w:rsidR="00702405" w:rsidRDefault="00702405" w:rsidP="006F4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005" w:rsidRPr="005B3A82" w:rsidRDefault="00075CFC" w:rsidP="00131005">
    <w:pPr>
      <w:pStyle w:val="Encabezado"/>
      <w:jc w:val="center"/>
      <w:rPr>
        <w:rFonts w:ascii="Arial Black" w:hAnsi="Arial Black"/>
        <w:sz w:val="28"/>
        <w:szCs w:val="28"/>
      </w:rPr>
    </w:pPr>
    <w:r w:rsidRPr="005B3A82">
      <w:rPr>
        <w:rFonts w:ascii="Arial Black" w:hAnsi="Arial Black"/>
        <w:sz w:val="28"/>
        <w:szCs w:val="28"/>
      </w:rPr>
      <w:t>UNIVERSIDAD NACIONAL DE CHIMBORAZO</w:t>
    </w:r>
  </w:p>
  <w:p w:rsidR="00131005" w:rsidRPr="005B3A82" w:rsidRDefault="00075CFC" w:rsidP="00131005">
    <w:pPr>
      <w:pStyle w:val="Encabezado"/>
      <w:jc w:val="center"/>
      <w:rPr>
        <w:rFonts w:ascii="Arial Black" w:hAnsi="Arial Black"/>
      </w:rPr>
    </w:pPr>
    <w:r>
      <w:rPr>
        <w:rFonts w:ascii="Arial Black" w:hAnsi="Arial Black"/>
      </w:rPr>
      <w:t>SECR</w:t>
    </w:r>
    <w:r w:rsidRPr="005B3A82">
      <w:rPr>
        <w:rFonts w:ascii="Arial Black" w:hAnsi="Arial Black"/>
      </w:rPr>
      <w:t>ETARÍA GENERAL</w:t>
    </w:r>
  </w:p>
  <w:p w:rsidR="00131005" w:rsidRDefault="0013100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1D0934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654681"/>
    <w:multiLevelType w:val="multilevel"/>
    <w:tmpl w:val="126C03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55303D0"/>
    <w:multiLevelType w:val="hybridMultilevel"/>
    <w:tmpl w:val="75BE9F3E"/>
    <w:lvl w:ilvl="0" w:tplc="300A0017">
      <w:start w:val="1"/>
      <w:numFmt w:val="lowerLetter"/>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ABC0D5D"/>
    <w:multiLevelType w:val="multilevel"/>
    <w:tmpl w:val="D11C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A25EF"/>
    <w:multiLevelType w:val="hybridMultilevel"/>
    <w:tmpl w:val="4A42133C"/>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5" w15:restartNumberingAfterBreak="0">
    <w:nsid w:val="22DC1327"/>
    <w:multiLevelType w:val="hybridMultilevel"/>
    <w:tmpl w:val="CC1850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48945A1"/>
    <w:multiLevelType w:val="hybridMultilevel"/>
    <w:tmpl w:val="C340FFAA"/>
    <w:lvl w:ilvl="0" w:tplc="CE0C1E26">
      <w:start w:val="1"/>
      <w:numFmt w:val="bullet"/>
      <w:pStyle w:val="Ttulo1"/>
      <w:lvlText w:val=""/>
      <w:lvlJc w:val="left"/>
      <w:pPr>
        <w:ind w:left="720" w:hanging="360"/>
      </w:pPr>
      <w:rPr>
        <w:rFonts w:ascii="Symbol" w:hAnsi="Symbol" w:cs="Symbol"/>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7FD5206"/>
    <w:multiLevelType w:val="multilevel"/>
    <w:tmpl w:val="51AC9B06"/>
    <w:lvl w:ilvl="0">
      <w:start w:val="1"/>
      <w:numFmt w:val="decimal"/>
      <w:lvlText w:val="%1."/>
      <w:lvlJc w:val="left"/>
      <w:pPr>
        <w:ind w:left="72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7FD2CFD"/>
    <w:multiLevelType w:val="hybridMultilevel"/>
    <w:tmpl w:val="AA808F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8317702"/>
    <w:multiLevelType w:val="hybridMultilevel"/>
    <w:tmpl w:val="BC602B1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0" w15:restartNumberingAfterBreak="0">
    <w:nsid w:val="3C7F2685"/>
    <w:multiLevelType w:val="multilevel"/>
    <w:tmpl w:val="DA72C300"/>
    <w:lvl w:ilvl="0">
      <w:start w:val="6"/>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4A6B1CDB"/>
    <w:multiLevelType w:val="multilevel"/>
    <w:tmpl w:val="8C80830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4BFE10B8"/>
    <w:multiLevelType w:val="multilevel"/>
    <w:tmpl w:val="115C74F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4D520097"/>
    <w:multiLevelType w:val="hybridMultilevel"/>
    <w:tmpl w:val="F4003A3A"/>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F5D71AA"/>
    <w:multiLevelType w:val="hybridMultilevel"/>
    <w:tmpl w:val="484C02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50866E5C"/>
    <w:multiLevelType w:val="multilevel"/>
    <w:tmpl w:val="1FA43D2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3D13AD6"/>
    <w:multiLevelType w:val="hybridMultilevel"/>
    <w:tmpl w:val="FD647E60"/>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5CA605DB"/>
    <w:multiLevelType w:val="hybridMultilevel"/>
    <w:tmpl w:val="94529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C91B9D"/>
    <w:multiLevelType w:val="hybridMultilevel"/>
    <w:tmpl w:val="8E30627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655953BA"/>
    <w:multiLevelType w:val="multilevel"/>
    <w:tmpl w:val="2CB0E460"/>
    <w:styleLink w:val="NumeracindeArtculos"/>
    <w:lvl w:ilvl="0">
      <w:start w:val="1"/>
      <w:numFmt w:val="decimal"/>
      <w:isLgl/>
      <w:lvlText w:val="Artículo %1."/>
      <w:lvlJc w:val="left"/>
      <w:pPr>
        <w:ind w:left="0" w:firstLine="0"/>
      </w:pPr>
      <w:rPr>
        <w:rFonts w:asciiTheme="majorHAnsi" w:hAnsiTheme="majorHAnsi" w:cs="Calibri Light (Títulos)"/>
        <w:b/>
        <w:i w:val="0"/>
        <w:color w:val="auto"/>
        <w:spacing w:val="0"/>
        <w:w w:val="100"/>
        <w:kern w:val="10"/>
        <w:position w:val="0"/>
        <w:sz w:val="20"/>
        <w:szCs w:val="20"/>
      </w:rPr>
    </w:lvl>
    <w:lvl w:ilvl="1">
      <w:start w:val="1"/>
      <w:numFmt w:val="decimalZero"/>
      <w:isLgl/>
      <w:lvlText w:val="Secció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15:restartNumberingAfterBreak="0">
    <w:nsid w:val="6CB77879"/>
    <w:multiLevelType w:val="hybridMultilevel"/>
    <w:tmpl w:val="1AE2D16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6E3D7BD2"/>
    <w:multiLevelType w:val="hybridMultilevel"/>
    <w:tmpl w:val="19F29B9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70D02071"/>
    <w:multiLevelType w:val="hybridMultilevel"/>
    <w:tmpl w:val="718C77BE"/>
    <w:lvl w:ilvl="0" w:tplc="300A0017">
      <w:start w:val="1"/>
      <w:numFmt w:val="lowerLetter"/>
      <w:lvlText w:val="%1)"/>
      <w:lvlJc w:val="left"/>
      <w:pPr>
        <w:ind w:left="720" w:hanging="360"/>
      </w:pPr>
      <w:rPr>
        <w:rFonts w:eastAsia="Times New Roman"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7CD54F04"/>
    <w:multiLevelType w:val="hybridMultilevel"/>
    <w:tmpl w:val="B226CC6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9"/>
  </w:num>
  <w:num w:numId="2">
    <w:abstractNumId w:val="0"/>
  </w:num>
  <w:num w:numId="3">
    <w:abstractNumId w:val="6"/>
  </w:num>
  <w:num w:numId="4">
    <w:abstractNumId w:val="14"/>
  </w:num>
  <w:num w:numId="5">
    <w:abstractNumId w:val="10"/>
  </w:num>
  <w:num w:numId="6">
    <w:abstractNumId w:val="16"/>
  </w:num>
  <w:num w:numId="7">
    <w:abstractNumId w:val="18"/>
  </w:num>
  <w:num w:numId="8">
    <w:abstractNumId w:val="15"/>
  </w:num>
  <w:num w:numId="9">
    <w:abstractNumId w:val="11"/>
  </w:num>
  <w:num w:numId="10">
    <w:abstractNumId w:val="12"/>
  </w:num>
  <w:num w:numId="11">
    <w:abstractNumId w:val="8"/>
  </w:num>
  <w:num w:numId="12">
    <w:abstractNumId w:val="5"/>
  </w:num>
  <w:num w:numId="13">
    <w:abstractNumId w:val="13"/>
  </w:num>
  <w:num w:numId="14">
    <w:abstractNumId w:val="4"/>
  </w:num>
  <w:num w:numId="15">
    <w:abstractNumId w:val="1"/>
  </w:num>
  <w:num w:numId="16">
    <w:abstractNumId w:val="17"/>
  </w:num>
  <w:num w:numId="17">
    <w:abstractNumId w:val="9"/>
  </w:num>
  <w:num w:numId="18">
    <w:abstractNumId w:val="20"/>
  </w:num>
  <w:num w:numId="19">
    <w:abstractNumId w:val="2"/>
  </w:num>
  <w:num w:numId="20">
    <w:abstractNumId w:val="23"/>
  </w:num>
  <w:num w:numId="21">
    <w:abstractNumId w:val="22"/>
  </w:num>
  <w:num w:numId="22">
    <w:abstractNumId w:val="7"/>
  </w:num>
  <w:num w:numId="23">
    <w:abstractNumId w:val="21"/>
  </w:num>
  <w:num w:numId="2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D2"/>
    <w:rsid w:val="00002918"/>
    <w:rsid w:val="00004566"/>
    <w:rsid w:val="0001009E"/>
    <w:rsid w:val="000134ED"/>
    <w:rsid w:val="0002186B"/>
    <w:rsid w:val="00034077"/>
    <w:rsid w:val="00042C20"/>
    <w:rsid w:val="00043231"/>
    <w:rsid w:val="0007240B"/>
    <w:rsid w:val="000731CE"/>
    <w:rsid w:val="00075CFC"/>
    <w:rsid w:val="000767FE"/>
    <w:rsid w:val="00077AD0"/>
    <w:rsid w:val="000806A8"/>
    <w:rsid w:val="0009122C"/>
    <w:rsid w:val="00095A10"/>
    <w:rsid w:val="000971B4"/>
    <w:rsid w:val="00097B31"/>
    <w:rsid w:val="000A1B54"/>
    <w:rsid w:val="000A3943"/>
    <w:rsid w:val="000B53CD"/>
    <w:rsid w:val="000C129B"/>
    <w:rsid w:val="000C5536"/>
    <w:rsid w:val="000D76D8"/>
    <w:rsid w:val="000E0B1B"/>
    <w:rsid w:val="000E39B5"/>
    <w:rsid w:val="000F6FDB"/>
    <w:rsid w:val="0010278D"/>
    <w:rsid w:val="00106615"/>
    <w:rsid w:val="00117B98"/>
    <w:rsid w:val="0012016E"/>
    <w:rsid w:val="00131005"/>
    <w:rsid w:val="001349C3"/>
    <w:rsid w:val="0013507B"/>
    <w:rsid w:val="00135CF0"/>
    <w:rsid w:val="001370CB"/>
    <w:rsid w:val="00142386"/>
    <w:rsid w:val="00144F81"/>
    <w:rsid w:val="00160CD7"/>
    <w:rsid w:val="00161A41"/>
    <w:rsid w:val="00170E17"/>
    <w:rsid w:val="00173BBF"/>
    <w:rsid w:val="0018035E"/>
    <w:rsid w:val="00183AF1"/>
    <w:rsid w:val="0018657A"/>
    <w:rsid w:val="00194781"/>
    <w:rsid w:val="001A2618"/>
    <w:rsid w:val="001B2888"/>
    <w:rsid w:val="001B6C76"/>
    <w:rsid w:val="001C25F3"/>
    <w:rsid w:val="001C44B0"/>
    <w:rsid w:val="001C5008"/>
    <w:rsid w:val="001C59AC"/>
    <w:rsid w:val="001D00F3"/>
    <w:rsid w:val="001D03BC"/>
    <w:rsid w:val="001E739E"/>
    <w:rsid w:val="001F11D7"/>
    <w:rsid w:val="001F1C3B"/>
    <w:rsid w:val="001F2968"/>
    <w:rsid w:val="00213E5D"/>
    <w:rsid w:val="00213E85"/>
    <w:rsid w:val="002150A9"/>
    <w:rsid w:val="00220512"/>
    <w:rsid w:val="00223D20"/>
    <w:rsid w:val="002249A7"/>
    <w:rsid w:val="00232577"/>
    <w:rsid w:val="00232B2A"/>
    <w:rsid w:val="00250C06"/>
    <w:rsid w:val="00253BD3"/>
    <w:rsid w:val="00257C98"/>
    <w:rsid w:val="002609D8"/>
    <w:rsid w:val="00263A3C"/>
    <w:rsid w:val="0026517B"/>
    <w:rsid w:val="00274012"/>
    <w:rsid w:val="002851BF"/>
    <w:rsid w:val="002908A8"/>
    <w:rsid w:val="00292E11"/>
    <w:rsid w:val="00294397"/>
    <w:rsid w:val="0029734E"/>
    <w:rsid w:val="002A39DF"/>
    <w:rsid w:val="002A3F5D"/>
    <w:rsid w:val="002A776D"/>
    <w:rsid w:val="002B262A"/>
    <w:rsid w:val="002B440A"/>
    <w:rsid w:val="002D1CB3"/>
    <w:rsid w:val="002D50BE"/>
    <w:rsid w:val="002E2483"/>
    <w:rsid w:val="002E264B"/>
    <w:rsid w:val="0030051D"/>
    <w:rsid w:val="00302857"/>
    <w:rsid w:val="003116F0"/>
    <w:rsid w:val="003122E3"/>
    <w:rsid w:val="00312DB0"/>
    <w:rsid w:val="003134AA"/>
    <w:rsid w:val="00315A2A"/>
    <w:rsid w:val="0031624B"/>
    <w:rsid w:val="00324DF7"/>
    <w:rsid w:val="00331A4B"/>
    <w:rsid w:val="003358F2"/>
    <w:rsid w:val="0034099C"/>
    <w:rsid w:val="003433B6"/>
    <w:rsid w:val="00346E44"/>
    <w:rsid w:val="00361A5E"/>
    <w:rsid w:val="00373768"/>
    <w:rsid w:val="00375377"/>
    <w:rsid w:val="0038232C"/>
    <w:rsid w:val="00387A2D"/>
    <w:rsid w:val="003B15F8"/>
    <w:rsid w:val="003C711F"/>
    <w:rsid w:val="003D0CA1"/>
    <w:rsid w:val="003D2156"/>
    <w:rsid w:val="003E5201"/>
    <w:rsid w:val="003E6A5C"/>
    <w:rsid w:val="003F1B3A"/>
    <w:rsid w:val="003F32F8"/>
    <w:rsid w:val="003F6EA5"/>
    <w:rsid w:val="0040021B"/>
    <w:rsid w:val="00401952"/>
    <w:rsid w:val="00403388"/>
    <w:rsid w:val="004033CF"/>
    <w:rsid w:val="004064A8"/>
    <w:rsid w:val="00415E4C"/>
    <w:rsid w:val="004204BC"/>
    <w:rsid w:val="00426A3F"/>
    <w:rsid w:val="0043083A"/>
    <w:rsid w:val="00436795"/>
    <w:rsid w:val="00441ED3"/>
    <w:rsid w:val="004513BD"/>
    <w:rsid w:val="004603C4"/>
    <w:rsid w:val="00460AD7"/>
    <w:rsid w:val="00463C76"/>
    <w:rsid w:val="00481E02"/>
    <w:rsid w:val="00485D79"/>
    <w:rsid w:val="00491945"/>
    <w:rsid w:val="0049420E"/>
    <w:rsid w:val="004C1348"/>
    <w:rsid w:val="004D2756"/>
    <w:rsid w:val="004D5FE3"/>
    <w:rsid w:val="004D74EB"/>
    <w:rsid w:val="005002B4"/>
    <w:rsid w:val="00502BAD"/>
    <w:rsid w:val="00506CF4"/>
    <w:rsid w:val="00514361"/>
    <w:rsid w:val="00516C32"/>
    <w:rsid w:val="0052120E"/>
    <w:rsid w:val="005216BE"/>
    <w:rsid w:val="0052390B"/>
    <w:rsid w:val="00532E31"/>
    <w:rsid w:val="00533C70"/>
    <w:rsid w:val="005340EE"/>
    <w:rsid w:val="005370F1"/>
    <w:rsid w:val="0054197D"/>
    <w:rsid w:val="00544A64"/>
    <w:rsid w:val="005508EC"/>
    <w:rsid w:val="00552399"/>
    <w:rsid w:val="00562C3F"/>
    <w:rsid w:val="00563EA2"/>
    <w:rsid w:val="00567940"/>
    <w:rsid w:val="00571819"/>
    <w:rsid w:val="00587271"/>
    <w:rsid w:val="005875DE"/>
    <w:rsid w:val="00592E8D"/>
    <w:rsid w:val="005A0F8E"/>
    <w:rsid w:val="005A27E9"/>
    <w:rsid w:val="005B1238"/>
    <w:rsid w:val="005C23EB"/>
    <w:rsid w:val="005C2E8F"/>
    <w:rsid w:val="005C312E"/>
    <w:rsid w:val="005C33B1"/>
    <w:rsid w:val="005C4314"/>
    <w:rsid w:val="005C4948"/>
    <w:rsid w:val="005C5BC1"/>
    <w:rsid w:val="005C6302"/>
    <w:rsid w:val="005E3320"/>
    <w:rsid w:val="005E60CD"/>
    <w:rsid w:val="005F0C7D"/>
    <w:rsid w:val="006013CD"/>
    <w:rsid w:val="006021B2"/>
    <w:rsid w:val="006041D8"/>
    <w:rsid w:val="006065DB"/>
    <w:rsid w:val="00607EF9"/>
    <w:rsid w:val="00612E7F"/>
    <w:rsid w:val="00615430"/>
    <w:rsid w:val="0061783B"/>
    <w:rsid w:val="006216D8"/>
    <w:rsid w:val="00623B0D"/>
    <w:rsid w:val="00627D0B"/>
    <w:rsid w:val="006333C2"/>
    <w:rsid w:val="00634D37"/>
    <w:rsid w:val="00636F98"/>
    <w:rsid w:val="006409E7"/>
    <w:rsid w:val="0066174B"/>
    <w:rsid w:val="00665F11"/>
    <w:rsid w:val="00674F6E"/>
    <w:rsid w:val="00677853"/>
    <w:rsid w:val="00687C86"/>
    <w:rsid w:val="00690C8D"/>
    <w:rsid w:val="00691B59"/>
    <w:rsid w:val="006A0DE1"/>
    <w:rsid w:val="006A21C5"/>
    <w:rsid w:val="006A695E"/>
    <w:rsid w:val="006B09A2"/>
    <w:rsid w:val="006B4323"/>
    <w:rsid w:val="006B7CBC"/>
    <w:rsid w:val="006D0E5E"/>
    <w:rsid w:val="006D3030"/>
    <w:rsid w:val="006E3E1C"/>
    <w:rsid w:val="006E4731"/>
    <w:rsid w:val="006E51F7"/>
    <w:rsid w:val="006E734E"/>
    <w:rsid w:val="006F4A47"/>
    <w:rsid w:val="006F4D00"/>
    <w:rsid w:val="006F6827"/>
    <w:rsid w:val="006F762D"/>
    <w:rsid w:val="00702405"/>
    <w:rsid w:val="0070428B"/>
    <w:rsid w:val="007151BF"/>
    <w:rsid w:val="00715631"/>
    <w:rsid w:val="00742FBD"/>
    <w:rsid w:val="00744E94"/>
    <w:rsid w:val="00747C4C"/>
    <w:rsid w:val="007516E3"/>
    <w:rsid w:val="00751AA1"/>
    <w:rsid w:val="007528B6"/>
    <w:rsid w:val="00774A79"/>
    <w:rsid w:val="007802AA"/>
    <w:rsid w:val="0078130C"/>
    <w:rsid w:val="00787F7F"/>
    <w:rsid w:val="0079087E"/>
    <w:rsid w:val="0079094C"/>
    <w:rsid w:val="00791FE4"/>
    <w:rsid w:val="007936EF"/>
    <w:rsid w:val="007A1C2D"/>
    <w:rsid w:val="007A55A3"/>
    <w:rsid w:val="007A612B"/>
    <w:rsid w:val="007B010E"/>
    <w:rsid w:val="007B6519"/>
    <w:rsid w:val="007C12EC"/>
    <w:rsid w:val="007C4B64"/>
    <w:rsid w:val="007C4D19"/>
    <w:rsid w:val="007D564D"/>
    <w:rsid w:val="007E1493"/>
    <w:rsid w:val="007E16A6"/>
    <w:rsid w:val="007E5FBB"/>
    <w:rsid w:val="007F1F68"/>
    <w:rsid w:val="007F5F27"/>
    <w:rsid w:val="00800AC7"/>
    <w:rsid w:val="00803314"/>
    <w:rsid w:val="008111AB"/>
    <w:rsid w:val="00811764"/>
    <w:rsid w:val="008270BF"/>
    <w:rsid w:val="00830AD7"/>
    <w:rsid w:val="00831832"/>
    <w:rsid w:val="00841D37"/>
    <w:rsid w:val="00846EB8"/>
    <w:rsid w:val="008536B1"/>
    <w:rsid w:val="00860F9B"/>
    <w:rsid w:val="0088461E"/>
    <w:rsid w:val="00886F17"/>
    <w:rsid w:val="0089218B"/>
    <w:rsid w:val="008968F9"/>
    <w:rsid w:val="00896D3A"/>
    <w:rsid w:val="008A1C3B"/>
    <w:rsid w:val="008B6E76"/>
    <w:rsid w:val="008B7B98"/>
    <w:rsid w:val="008C6466"/>
    <w:rsid w:val="008D69B1"/>
    <w:rsid w:val="008E1BB4"/>
    <w:rsid w:val="008E1F1D"/>
    <w:rsid w:val="008E2269"/>
    <w:rsid w:val="008F20F6"/>
    <w:rsid w:val="008F5D8D"/>
    <w:rsid w:val="00900C30"/>
    <w:rsid w:val="00905CFB"/>
    <w:rsid w:val="009143BF"/>
    <w:rsid w:val="0091441F"/>
    <w:rsid w:val="00924AF7"/>
    <w:rsid w:val="00926C65"/>
    <w:rsid w:val="00927512"/>
    <w:rsid w:val="009335D5"/>
    <w:rsid w:val="0093778C"/>
    <w:rsid w:val="00937AFA"/>
    <w:rsid w:val="00940254"/>
    <w:rsid w:val="00943AC1"/>
    <w:rsid w:val="00944B59"/>
    <w:rsid w:val="00950DF9"/>
    <w:rsid w:val="009567C9"/>
    <w:rsid w:val="00966A14"/>
    <w:rsid w:val="009743CD"/>
    <w:rsid w:val="00974FB7"/>
    <w:rsid w:val="00977EEF"/>
    <w:rsid w:val="009913EF"/>
    <w:rsid w:val="009917E9"/>
    <w:rsid w:val="009937B8"/>
    <w:rsid w:val="0099416C"/>
    <w:rsid w:val="0099585D"/>
    <w:rsid w:val="009A3FDA"/>
    <w:rsid w:val="009B3AA6"/>
    <w:rsid w:val="009C7DB9"/>
    <w:rsid w:val="009D1460"/>
    <w:rsid w:val="009D4D6F"/>
    <w:rsid w:val="009E0B3C"/>
    <w:rsid w:val="009F2FCE"/>
    <w:rsid w:val="00A04FE0"/>
    <w:rsid w:val="00A068F9"/>
    <w:rsid w:val="00A07AB6"/>
    <w:rsid w:val="00A1456F"/>
    <w:rsid w:val="00A26E64"/>
    <w:rsid w:val="00A27734"/>
    <w:rsid w:val="00A30B8E"/>
    <w:rsid w:val="00A32008"/>
    <w:rsid w:val="00A423F8"/>
    <w:rsid w:val="00A454EE"/>
    <w:rsid w:val="00A51969"/>
    <w:rsid w:val="00A52BF4"/>
    <w:rsid w:val="00A54021"/>
    <w:rsid w:val="00A55FB8"/>
    <w:rsid w:val="00A56375"/>
    <w:rsid w:val="00A60D1C"/>
    <w:rsid w:val="00A60D55"/>
    <w:rsid w:val="00A62E6E"/>
    <w:rsid w:val="00A64DBD"/>
    <w:rsid w:val="00A72492"/>
    <w:rsid w:val="00A75BBC"/>
    <w:rsid w:val="00A84B14"/>
    <w:rsid w:val="00AA1565"/>
    <w:rsid w:val="00AA59DE"/>
    <w:rsid w:val="00AB34D2"/>
    <w:rsid w:val="00AB5A1A"/>
    <w:rsid w:val="00AC7328"/>
    <w:rsid w:val="00AD06BF"/>
    <w:rsid w:val="00AD7990"/>
    <w:rsid w:val="00AE7C7F"/>
    <w:rsid w:val="00AF553E"/>
    <w:rsid w:val="00B021D5"/>
    <w:rsid w:val="00B067C2"/>
    <w:rsid w:val="00B2308A"/>
    <w:rsid w:val="00B34474"/>
    <w:rsid w:val="00B36FEB"/>
    <w:rsid w:val="00B37674"/>
    <w:rsid w:val="00B43CB3"/>
    <w:rsid w:val="00B510ED"/>
    <w:rsid w:val="00B54037"/>
    <w:rsid w:val="00B57584"/>
    <w:rsid w:val="00B60245"/>
    <w:rsid w:val="00B653EF"/>
    <w:rsid w:val="00B70DD2"/>
    <w:rsid w:val="00B72C62"/>
    <w:rsid w:val="00B7783B"/>
    <w:rsid w:val="00B84D05"/>
    <w:rsid w:val="00BB6327"/>
    <w:rsid w:val="00BB71A2"/>
    <w:rsid w:val="00BB7923"/>
    <w:rsid w:val="00BC0D29"/>
    <w:rsid w:val="00BD0E95"/>
    <w:rsid w:val="00BE60F7"/>
    <w:rsid w:val="00BF1096"/>
    <w:rsid w:val="00BF4F53"/>
    <w:rsid w:val="00C011C7"/>
    <w:rsid w:val="00C11F9A"/>
    <w:rsid w:val="00C139F5"/>
    <w:rsid w:val="00C147D2"/>
    <w:rsid w:val="00C161F9"/>
    <w:rsid w:val="00C2297B"/>
    <w:rsid w:val="00C2476E"/>
    <w:rsid w:val="00C32A25"/>
    <w:rsid w:val="00C33105"/>
    <w:rsid w:val="00C40ECE"/>
    <w:rsid w:val="00C54EF9"/>
    <w:rsid w:val="00C61AC6"/>
    <w:rsid w:val="00C62996"/>
    <w:rsid w:val="00C634E6"/>
    <w:rsid w:val="00C63C05"/>
    <w:rsid w:val="00C720FB"/>
    <w:rsid w:val="00C77176"/>
    <w:rsid w:val="00C817F5"/>
    <w:rsid w:val="00C84254"/>
    <w:rsid w:val="00C9255E"/>
    <w:rsid w:val="00C96700"/>
    <w:rsid w:val="00CA11F2"/>
    <w:rsid w:val="00CA52E4"/>
    <w:rsid w:val="00CA79E5"/>
    <w:rsid w:val="00CB75B4"/>
    <w:rsid w:val="00CD04FD"/>
    <w:rsid w:val="00CD1A51"/>
    <w:rsid w:val="00CF0EC3"/>
    <w:rsid w:val="00D0059D"/>
    <w:rsid w:val="00D01040"/>
    <w:rsid w:val="00D33C64"/>
    <w:rsid w:val="00D357E3"/>
    <w:rsid w:val="00D55F69"/>
    <w:rsid w:val="00D75139"/>
    <w:rsid w:val="00D77C8F"/>
    <w:rsid w:val="00D77ED2"/>
    <w:rsid w:val="00D80E4B"/>
    <w:rsid w:val="00D93257"/>
    <w:rsid w:val="00D93263"/>
    <w:rsid w:val="00DA29B5"/>
    <w:rsid w:val="00DA5615"/>
    <w:rsid w:val="00DB29A8"/>
    <w:rsid w:val="00DB5DE1"/>
    <w:rsid w:val="00DB734E"/>
    <w:rsid w:val="00DC02F2"/>
    <w:rsid w:val="00DC79D7"/>
    <w:rsid w:val="00DD040B"/>
    <w:rsid w:val="00DD0AD8"/>
    <w:rsid w:val="00DD0B5D"/>
    <w:rsid w:val="00DD0BD8"/>
    <w:rsid w:val="00DD2E37"/>
    <w:rsid w:val="00DD4C60"/>
    <w:rsid w:val="00DD65F9"/>
    <w:rsid w:val="00DE4EB6"/>
    <w:rsid w:val="00DE556B"/>
    <w:rsid w:val="00DE7040"/>
    <w:rsid w:val="00E02C2E"/>
    <w:rsid w:val="00E05E3E"/>
    <w:rsid w:val="00E10688"/>
    <w:rsid w:val="00E16BAC"/>
    <w:rsid w:val="00E22AB1"/>
    <w:rsid w:val="00E22DBB"/>
    <w:rsid w:val="00E3613D"/>
    <w:rsid w:val="00E37378"/>
    <w:rsid w:val="00E57019"/>
    <w:rsid w:val="00E611B3"/>
    <w:rsid w:val="00E61DEA"/>
    <w:rsid w:val="00E631F2"/>
    <w:rsid w:val="00E63D56"/>
    <w:rsid w:val="00E65765"/>
    <w:rsid w:val="00E67775"/>
    <w:rsid w:val="00E67E21"/>
    <w:rsid w:val="00E70336"/>
    <w:rsid w:val="00E72296"/>
    <w:rsid w:val="00E72A10"/>
    <w:rsid w:val="00E811DB"/>
    <w:rsid w:val="00E8792D"/>
    <w:rsid w:val="00E903AC"/>
    <w:rsid w:val="00EA7563"/>
    <w:rsid w:val="00EC0111"/>
    <w:rsid w:val="00EC0649"/>
    <w:rsid w:val="00EC073B"/>
    <w:rsid w:val="00EC212E"/>
    <w:rsid w:val="00EC5923"/>
    <w:rsid w:val="00EC714F"/>
    <w:rsid w:val="00ED16F5"/>
    <w:rsid w:val="00ED412D"/>
    <w:rsid w:val="00ED4ED5"/>
    <w:rsid w:val="00EE3701"/>
    <w:rsid w:val="00EF031E"/>
    <w:rsid w:val="00EF07C9"/>
    <w:rsid w:val="00F00634"/>
    <w:rsid w:val="00F0730A"/>
    <w:rsid w:val="00F1474D"/>
    <w:rsid w:val="00F15BCA"/>
    <w:rsid w:val="00F16F25"/>
    <w:rsid w:val="00F2077D"/>
    <w:rsid w:val="00F209FB"/>
    <w:rsid w:val="00F22FAF"/>
    <w:rsid w:val="00F23374"/>
    <w:rsid w:val="00F24A41"/>
    <w:rsid w:val="00F252DE"/>
    <w:rsid w:val="00F25405"/>
    <w:rsid w:val="00F25457"/>
    <w:rsid w:val="00F27124"/>
    <w:rsid w:val="00F27FA8"/>
    <w:rsid w:val="00F43847"/>
    <w:rsid w:val="00F45266"/>
    <w:rsid w:val="00F5191F"/>
    <w:rsid w:val="00F56F2E"/>
    <w:rsid w:val="00F61F96"/>
    <w:rsid w:val="00F62F28"/>
    <w:rsid w:val="00F62F36"/>
    <w:rsid w:val="00F63BA5"/>
    <w:rsid w:val="00F7092B"/>
    <w:rsid w:val="00F902C6"/>
    <w:rsid w:val="00F939B2"/>
    <w:rsid w:val="00FA0A2B"/>
    <w:rsid w:val="00FA244F"/>
    <w:rsid w:val="00FA5B60"/>
    <w:rsid w:val="00FB6DEC"/>
    <w:rsid w:val="00FC3CD9"/>
    <w:rsid w:val="00FC5A20"/>
    <w:rsid w:val="00FD1F77"/>
    <w:rsid w:val="00FD3C31"/>
    <w:rsid w:val="00FD7971"/>
    <w:rsid w:val="00FE3B4D"/>
    <w:rsid w:val="00FE46E5"/>
    <w:rsid w:val="00FE7E8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25CE7"/>
  <w15:chartTrackingRefBased/>
  <w15:docId w15:val="{2189A9D0-6117-4B47-B3A5-E14A25A9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C9"/>
  </w:style>
  <w:style w:type="paragraph" w:styleId="Ttulo1">
    <w:name w:val="heading 1"/>
    <w:basedOn w:val="Normal"/>
    <w:next w:val="Normal"/>
    <w:link w:val="Ttulo1Car"/>
    <w:autoRedefine/>
    <w:uiPriority w:val="9"/>
    <w:qFormat/>
    <w:rsid w:val="007F5F27"/>
    <w:pPr>
      <w:keepNext/>
      <w:numPr>
        <w:numId w:val="3"/>
      </w:numPr>
      <w:spacing w:after="100" w:afterAutospacing="1" w:line="240" w:lineRule="auto"/>
      <w:jc w:val="both"/>
      <w:outlineLvl w:val="0"/>
    </w:pPr>
    <w:rPr>
      <w:rFonts w:ascii="Century Gothic" w:hAnsi="Century Gothic" w:cstheme="majorBidi"/>
      <w:b/>
      <w:bCs/>
      <w:sz w:val="20"/>
      <w:szCs w:val="20"/>
    </w:rPr>
  </w:style>
  <w:style w:type="paragraph" w:styleId="Ttulo2">
    <w:name w:val="heading 2"/>
    <w:basedOn w:val="Normal"/>
    <w:next w:val="Normal"/>
    <w:link w:val="Ttulo2Car"/>
    <w:uiPriority w:val="9"/>
    <w:unhideWhenUsed/>
    <w:qFormat/>
    <w:rsid w:val="00E02C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021B2"/>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6021B2"/>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B84D05"/>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qFormat/>
    <w:rsid w:val="006021B2"/>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6021B2"/>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6021B2"/>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6021B2"/>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Capítulo,Lista vistosa - Énfasis 11,List Paragraph,Párrafo de Viñeta,tEXTO,Dot pt,No Spacing1,List Paragraph Char Char Char,Indicator Text,Numbered Para 1,Colorful List - Accent 11,Bullet 1,F5 List Paragraph,Bullet Points"/>
    <w:basedOn w:val="Normal"/>
    <w:link w:val="PrrafodelistaCar"/>
    <w:uiPriority w:val="34"/>
    <w:qFormat/>
    <w:rsid w:val="00D77ED2"/>
    <w:pPr>
      <w:ind w:left="720"/>
      <w:contextualSpacing/>
    </w:pPr>
  </w:style>
  <w:style w:type="paragraph" w:styleId="NormalWeb">
    <w:name w:val="Normal (Web)"/>
    <w:basedOn w:val="Normal"/>
    <w:uiPriority w:val="99"/>
    <w:unhideWhenUsed/>
    <w:rsid w:val="00D77ED2"/>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Encabezado">
    <w:name w:val="header"/>
    <w:basedOn w:val="Normal"/>
    <w:link w:val="EncabezadoCar"/>
    <w:uiPriority w:val="99"/>
    <w:unhideWhenUsed/>
    <w:rsid w:val="00D77E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7ED2"/>
  </w:style>
  <w:style w:type="paragraph" w:styleId="Piedepgina">
    <w:name w:val="footer"/>
    <w:basedOn w:val="Normal"/>
    <w:link w:val="PiedepginaCar"/>
    <w:uiPriority w:val="99"/>
    <w:unhideWhenUsed/>
    <w:rsid w:val="00D77E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7ED2"/>
  </w:style>
  <w:style w:type="character" w:styleId="Hipervnculo">
    <w:name w:val="Hyperlink"/>
    <w:basedOn w:val="Fuentedeprrafopredeter"/>
    <w:uiPriority w:val="99"/>
    <w:unhideWhenUsed/>
    <w:rsid w:val="006F4A47"/>
    <w:rPr>
      <w:color w:val="0563C1" w:themeColor="hyperlink"/>
      <w:u w:val="single"/>
    </w:rPr>
  </w:style>
  <w:style w:type="paragraph" w:styleId="Sinespaciado">
    <w:name w:val="No Spacing"/>
    <w:uiPriority w:val="1"/>
    <w:qFormat/>
    <w:rsid w:val="00FD1F77"/>
    <w:pPr>
      <w:spacing w:after="0" w:line="240" w:lineRule="auto"/>
    </w:pPr>
    <w:rPr>
      <w:rFonts w:eastAsiaTheme="minorEastAsia"/>
      <w:sz w:val="24"/>
      <w:szCs w:val="24"/>
      <w:lang w:val="es-ES_tradnl" w:eastAsia="es-ES"/>
    </w:rPr>
  </w:style>
  <w:style w:type="paragraph" w:customStyle="1" w:styleId="Default">
    <w:name w:val="Default"/>
    <w:rsid w:val="009D1460"/>
    <w:pPr>
      <w:autoSpaceDE w:val="0"/>
      <w:autoSpaceDN w:val="0"/>
      <w:adjustRightInd w:val="0"/>
      <w:spacing w:after="0" w:line="240" w:lineRule="auto"/>
    </w:pPr>
    <w:rPr>
      <w:rFonts w:ascii="Arial" w:hAnsi="Arial" w:cs="Arial"/>
      <w:color w:val="000000"/>
      <w:sz w:val="24"/>
      <w:szCs w:val="24"/>
    </w:rPr>
  </w:style>
  <w:style w:type="paragraph" w:styleId="Firma">
    <w:name w:val="Signature"/>
    <w:basedOn w:val="Normal"/>
    <w:link w:val="FirmaCar"/>
    <w:uiPriority w:val="99"/>
    <w:unhideWhenUsed/>
    <w:rsid w:val="00DC02F2"/>
    <w:pPr>
      <w:spacing w:after="0" w:line="240" w:lineRule="auto"/>
      <w:ind w:left="4252"/>
    </w:pPr>
    <w:rPr>
      <w:rFonts w:ascii="Times New Roman" w:eastAsia="Times New Roman" w:hAnsi="Times New Roman" w:cs="Times New Roman"/>
      <w:sz w:val="24"/>
      <w:szCs w:val="24"/>
      <w:lang w:val="es-ES" w:eastAsia="es-ES"/>
    </w:rPr>
  </w:style>
  <w:style w:type="character" w:customStyle="1" w:styleId="FirmaCar">
    <w:name w:val="Firma Car"/>
    <w:basedOn w:val="Fuentedeprrafopredeter"/>
    <w:link w:val="Firma"/>
    <w:uiPriority w:val="99"/>
    <w:rsid w:val="00DC02F2"/>
    <w:rPr>
      <w:rFonts w:ascii="Times New Roman" w:eastAsia="Times New Roman" w:hAnsi="Times New Roman" w:cs="Times New Roman"/>
      <w:sz w:val="24"/>
      <w:szCs w:val="24"/>
      <w:lang w:val="es-ES" w:eastAsia="es-ES"/>
    </w:rPr>
  </w:style>
  <w:style w:type="paragraph" w:customStyle="1" w:styleId="Infodocumentosadjuntos">
    <w:name w:val="Info documentos adjuntos"/>
    <w:basedOn w:val="Normal"/>
    <w:rsid w:val="00DC02F2"/>
    <w:pPr>
      <w:spacing w:after="0"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FC3CD9"/>
    <w:pPr>
      <w:spacing w:after="0" w:line="240" w:lineRule="auto"/>
      <w:jc w:val="center"/>
    </w:pPr>
    <w:rPr>
      <w:rFonts w:ascii="Book Antiqua" w:eastAsia="Times New Roman" w:hAnsi="Book Antiqua" w:cs="Times New Roman"/>
      <w:b/>
      <w:bCs/>
      <w:sz w:val="28"/>
      <w:szCs w:val="24"/>
      <w:lang w:eastAsia="es-ES"/>
    </w:rPr>
  </w:style>
  <w:style w:type="character" w:customStyle="1" w:styleId="TextoindependienteCar">
    <w:name w:val="Texto independiente Car"/>
    <w:basedOn w:val="Fuentedeprrafopredeter"/>
    <w:link w:val="Textoindependiente"/>
    <w:rsid w:val="00FC3CD9"/>
    <w:rPr>
      <w:rFonts w:ascii="Book Antiqua" w:eastAsia="Times New Roman" w:hAnsi="Book Antiqua" w:cs="Times New Roman"/>
      <w:b/>
      <w:bCs/>
      <w:sz w:val="28"/>
      <w:szCs w:val="24"/>
      <w:lang w:eastAsia="es-ES"/>
    </w:rPr>
  </w:style>
  <w:style w:type="character" w:customStyle="1" w:styleId="PrrafodelistaCar">
    <w:name w:val="Párrafo de lista Car"/>
    <w:aliases w:val="TIT 2 IND Car,Capítulo Car,Lista vistosa - Énfasis 11 Car,List Paragraph Car,Párrafo de Viñeta Car,tEXTO Car,Dot pt Car,No Spacing1 Car,List Paragraph Char Char Char Car,Indicator Text Car,Numbered Para 1 Car,Bullet 1 Car"/>
    <w:link w:val="Prrafodelista"/>
    <w:uiPriority w:val="34"/>
    <w:qFormat/>
    <w:locked/>
    <w:rsid w:val="00FC3CD9"/>
  </w:style>
  <w:style w:type="table" w:styleId="Tablaconcuadrcula">
    <w:name w:val="Table Grid"/>
    <w:basedOn w:val="Tablanormal"/>
    <w:uiPriority w:val="39"/>
    <w:rsid w:val="00FC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F5F27"/>
    <w:rPr>
      <w:rFonts w:ascii="Century Gothic" w:hAnsi="Century Gothic" w:cstheme="majorBidi"/>
      <w:b/>
      <w:bCs/>
      <w:sz w:val="20"/>
      <w:szCs w:val="20"/>
    </w:rPr>
  </w:style>
  <w:style w:type="character" w:customStyle="1" w:styleId="Ttulo2Car">
    <w:name w:val="Título 2 Car"/>
    <w:basedOn w:val="Fuentedeprrafopredeter"/>
    <w:link w:val="Ttulo2"/>
    <w:uiPriority w:val="9"/>
    <w:rsid w:val="00E02C2E"/>
    <w:rPr>
      <w:rFonts w:asciiTheme="majorHAnsi" w:eastAsiaTheme="majorEastAsia" w:hAnsiTheme="majorHAnsi" w:cstheme="majorBidi"/>
      <w:color w:val="2E74B5" w:themeColor="accent1" w:themeShade="BF"/>
      <w:sz w:val="26"/>
      <w:szCs w:val="26"/>
    </w:rPr>
  </w:style>
  <w:style w:type="paragraph" w:customStyle="1" w:styleId="Prrafo1">
    <w:name w:val="Párrafo 1"/>
    <w:basedOn w:val="Normal"/>
    <w:qFormat/>
    <w:rsid w:val="002249A7"/>
    <w:pPr>
      <w:spacing w:before="120" w:after="120" w:line="264" w:lineRule="auto"/>
      <w:jc w:val="both"/>
    </w:pPr>
    <w:rPr>
      <w:rFonts w:ascii="Raleway Light" w:hAnsi="Raleway Light"/>
      <w:sz w:val="20"/>
      <w:szCs w:val="24"/>
      <w:lang w:val="es-ES_tradnl"/>
    </w:rPr>
  </w:style>
  <w:style w:type="numbering" w:customStyle="1" w:styleId="NumeracindeArtculos">
    <w:name w:val="Numeración de Artículos"/>
    <w:uiPriority w:val="99"/>
    <w:rsid w:val="00CD1A51"/>
    <w:pPr>
      <w:numPr>
        <w:numId w:val="1"/>
      </w:numPr>
    </w:pPr>
  </w:style>
  <w:style w:type="character" w:customStyle="1" w:styleId="nrmar">
    <w:name w:val="nrmar"/>
    <w:basedOn w:val="Fuentedeprrafopredeter"/>
    <w:rsid w:val="00AD06BF"/>
  </w:style>
  <w:style w:type="paragraph" w:styleId="Textonotapie">
    <w:name w:val="footnote text"/>
    <w:basedOn w:val="Normal"/>
    <w:link w:val="TextonotapieCar"/>
    <w:uiPriority w:val="99"/>
    <w:unhideWhenUsed/>
    <w:rsid w:val="0079087E"/>
    <w:pPr>
      <w:spacing w:after="0" w:line="240" w:lineRule="auto"/>
    </w:pPr>
    <w:rPr>
      <w:sz w:val="20"/>
      <w:szCs w:val="20"/>
      <w:lang w:val="es-ES"/>
    </w:rPr>
  </w:style>
  <w:style w:type="character" w:customStyle="1" w:styleId="TextonotapieCar">
    <w:name w:val="Texto nota pie Car"/>
    <w:basedOn w:val="Fuentedeprrafopredeter"/>
    <w:link w:val="Textonotapie"/>
    <w:uiPriority w:val="99"/>
    <w:rsid w:val="0079087E"/>
    <w:rPr>
      <w:sz w:val="20"/>
      <w:szCs w:val="20"/>
      <w:lang w:val="es-ES"/>
    </w:rPr>
  </w:style>
  <w:style w:type="character" w:customStyle="1" w:styleId="Ttulo5Car">
    <w:name w:val="Título 5 Car"/>
    <w:basedOn w:val="Fuentedeprrafopredeter"/>
    <w:link w:val="Ttulo5"/>
    <w:uiPriority w:val="9"/>
    <w:rsid w:val="00B84D05"/>
    <w:rPr>
      <w:rFonts w:asciiTheme="majorHAnsi" w:eastAsiaTheme="majorEastAsia" w:hAnsiTheme="majorHAnsi" w:cstheme="majorBidi"/>
      <w:color w:val="2E74B5" w:themeColor="accent1" w:themeShade="BF"/>
    </w:rPr>
  </w:style>
  <w:style w:type="paragraph" w:styleId="Listaconvietas">
    <w:name w:val="List Bullet"/>
    <w:basedOn w:val="Normal"/>
    <w:uiPriority w:val="99"/>
    <w:unhideWhenUsed/>
    <w:rsid w:val="00331A4B"/>
    <w:pPr>
      <w:numPr>
        <w:numId w:val="2"/>
      </w:numPr>
      <w:contextualSpacing/>
    </w:pPr>
  </w:style>
  <w:style w:type="character" w:customStyle="1" w:styleId="MSGENFONTSTYLENAMETEMPLATEROLEMSGENFONTSTYLENAMEBYROLETEXT">
    <w:name w:val="MSG_EN_FONT_STYLE_NAME_TEMPLATE_ROLE MSG_EN_FONT_STYLE_NAME_BY_ROLE_TEXT_"/>
    <w:basedOn w:val="Fuentedeprrafopredeter"/>
    <w:rsid w:val="00A068F9"/>
    <w:rPr>
      <w:b w:val="0"/>
      <w:bCs w:val="0"/>
      <w:i w:val="0"/>
      <w:iCs w:val="0"/>
      <w:smallCaps w:val="0"/>
      <w:strike w:val="0"/>
      <w:sz w:val="21"/>
      <w:szCs w:val="21"/>
      <w:u w:val="none"/>
    </w:rPr>
  </w:style>
  <w:style w:type="character" w:customStyle="1" w:styleId="MSGENFONTSTYLENAMETEMPLATEROLEMSGENFONTSTYLENAMEBYROLETEXT0">
    <w:name w:val="MSG_EN_FONT_STYLE_NAME_TEMPLATE_ROLE MSG_EN_FONT_STYLE_NAME_BY_ROLE_TEXT"/>
    <w:basedOn w:val="MSGENFONTSTYLENAMETEMPLATEROLEMSGENFONTSTYLENAMEBYROLETEXT"/>
    <w:rsid w:val="00A068F9"/>
    <w:rPr>
      <w:rFonts w:ascii="Times New Roman" w:eastAsia="Times New Roman" w:hAnsi="Times New Roman" w:cs="Times New Roman"/>
      <w:b w:val="0"/>
      <w:bCs w:val="0"/>
      <w:i w:val="0"/>
      <w:iCs w:val="0"/>
      <w:smallCaps w:val="0"/>
      <w:strike w:val="0"/>
      <w:color w:val="151515"/>
      <w:spacing w:val="0"/>
      <w:w w:val="100"/>
      <w:position w:val="0"/>
      <w:sz w:val="21"/>
      <w:szCs w:val="21"/>
      <w:u w:val="none"/>
      <w:lang w:val="en-US"/>
    </w:rPr>
  </w:style>
  <w:style w:type="character" w:customStyle="1" w:styleId="MSGENFONTSTYLENAMETEMPLATEROLEMSGENFONTSTYLENAMEBYROLETEXTMSGENFONTSTYLEMODIFERBOLD">
    <w:name w:val="MSG_EN_FONT_STYLE_NAME_TEMPLATE_ROLE MSG_EN_FONT_STYLE_NAME_BY_ROLE_TEXT + MSG_EN_FONT_STYLE_MODIFER_BOLD"/>
    <w:basedOn w:val="MSGENFONTSTYLENAMETEMPLATEROLEMSGENFONTSTYLENAMEBYROLETEXT"/>
    <w:rsid w:val="00A068F9"/>
    <w:rPr>
      <w:rFonts w:ascii="Times New Roman" w:eastAsia="Times New Roman" w:hAnsi="Times New Roman" w:cs="Times New Roman"/>
      <w:b/>
      <w:bCs/>
      <w:i w:val="0"/>
      <w:iCs w:val="0"/>
      <w:smallCaps w:val="0"/>
      <w:strike w:val="0"/>
      <w:color w:val="151515"/>
      <w:spacing w:val="0"/>
      <w:w w:val="100"/>
      <w:position w:val="0"/>
      <w:sz w:val="21"/>
      <w:szCs w:val="21"/>
      <w:u w:val="none"/>
      <w:lang w:val="en-US"/>
    </w:rPr>
  </w:style>
  <w:style w:type="character" w:customStyle="1" w:styleId="MSGENFONTSTYLENAMETEMPLATEROLEMSGENFONTSTYLENAMEBYROLETEXTMSGENFONTSTYLEMODIFERITALICMSGENFONTSTYLEMODIFERSCALING75">
    <w:name w:val="MSG_EN_FONT_STYLE_NAME_TEMPLATE_ROLE MSG_EN_FONT_STYLE_NAME_BY_ROLE_TEXT + MSG_EN_FONT_STYLE_MODIFER_ITALIC;MSG_EN_FONT_STYLE_MODIFER_SCALING 75"/>
    <w:basedOn w:val="MSGENFONTSTYLENAMETEMPLATEROLEMSGENFONTSTYLENAMEBYROLETEXT"/>
    <w:rsid w:val="00A068F9"/>
    <w:rPr>
      <w:rFonts w:ascii="Times New Roman" w:eastAsia="Times New Roman" w:hAnsi="Times New Roman" w:cs="Times New Roman"/>
      <w:b w:val="0"/>
      <w:bCs w:val="0"/>
      <w:i/>
      <w:iCs/>
      <w:smallCaps w:val="0"/>
      <w:strike w:val="0"/>
      <w:color w:val="151515"/>
      <w:spacing w:val="0"/>
      <w:w w:val="75"/>
      <w:position w:val="0"/>
      <w:sz w:val="21"/>
      <w:szCs w:val="21"/>
      <w:u w:val="none"/>
      <w:lang w:val="en-US"/>
    </w:rPr>
  </w:style>
  <w:style w:type="character" w:customStyle="1" w:styleId="Ttulo3Car">
    <w:name w:val="Título 3 Car"/>
    <w:basedOn w:val="Fuentedeprrafopredeter"/>
    <w:link w:val="Ttulo3"/>
    <w:uiPriority w:val="9"/>
    <w:semiHidden/>
    <w:rsid w:val="006021B2"/>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6021B2"/>
    <w:rPr>
      <w:rFonts w:eastAsiaTheme="minorEastAsia"/>
      <w:b/>
      <w:bCs/>
      <w:sz w:val="28"/>
      <w:szCs w:val="28"/>
      <w:lang w:val="en-US"/>
    </w:rPr>
  </w:style>
  <w:style w:type="character" w:customStyle="1" w:styleId="Ttulo6Car">
    <w:name w:val="Título 6 Car"/>
    <w:basedOn w:val="Fuentedeprrafopredeter"/>
    <w:link w:val="Ttulo6"/>
    <w:rsid w:val="006021B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6021B2"/>
    <w:rPr>
      <w:rFonts w:eastAsiaTheme="minorEastAsia"/>
      <w:sz w:val="24"/>
      <w:szCs w:val="24"/>
      <w:lang w:val="en-US"/>
    </w:rPr>
  </w:style>
  <w:style w:type="character" w:customStyle="1" w:styleId="Ttulo8Car">
    <w:name w:val="Título 8 Car"/>
    <w:basedOn w:val="Fuentedeprrafopredeter"/>
    <w:link w:val="Ttulo8"/>
    <w:uiPriority w:val="9"/>
    <w:semiHidden/>
    <w:rsid w:val="006021B2"/>
    <w:rPr>
      <w:rFonts w:eastAsiaTheme="minorEastAsia"/>
      <w:i/>
      <w:iCs/>
      <w:sz w:val="24"/>
      <w:szCs w:val="24"/>
      <w:lang w:val="en-US"/>
    </w:rPr>
  </w:style>
  <w:style w:type="character" w:customStyle="1" w:styleId="Ttulo9Car">
    <w:name w:val="Título 9 Car"/>
    <w:basedOn w:val="Fuentedeprrafopredeter"/>
    <w:link w:val="Ttulo9"/>
    <w:uiPriority w:val="9"/>
    <w:semiHidden/>
    <w:rsid w:val="006021B2"/>
    <w:rPr>
      <w:rFonts w:asciiTheme="majorHAnsi" w:eastAsiaTheme="majorEastAsia" w:hAnsiTheme="majorHAnsi" w:cstheme="majorBidi"/>
      <w:lang w:val="en-US"/>
    </w:rPr>
  </w:style>
  <w:style w:type="character" w:styleId="Refdecomentario">
    <w:name w:val="annotation reference"/>
    <w:basedOn w:val="Fuentedeprrafopredeter"/>
    <w:uiPriority w:val="99"/>
    <w:semiHidden/>
    <w:unhideWhenUsed/>
    <w:rsid w:val="006021B2"/>
    <w:rPr>
      <w:sz w:val="16"/>
      <w:szCs w:val="16"/>
    </w:rPr>
  </w:style>
  <w:style w:type="paragraph" w:styleId="Textocomentario">
    <w:name w:val="annotation text"/>
    <w:basedOn w:val="Normal"/>
    <w:link w:val="TextocomentarioCar"/>
    <w:uiPriority w:val="99"/>
    <w:semiHidden/>
    <w:unhideWhenUsed/>
    <w:rsid w:val="006021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21B2"/>
    <w:rPr>
      <w:sz w:val="20"/>
      <w:szCs w:val="20"/>
    </w:rPr>
  </w:style>
  <w:style w:type="paragraph" w:styleId="Asuntodelcomentario">
    <w:name w:val="annotation subject"/>
    <w:basedOn w:val="Textocomentario"/>
    <w:next w:val="Textocomentario"/>
    <w:link w:val="AsuntodelcomentarioCar"/>
    <w:uiPriority w:val="99"/>
    <w:semiHidden/>
    <w:unhideWhenUsed/>
    <w:rsid w:val="006021B2"/>
    <w:rPr>
      <w:b/>
      <w:bCs/>
    </w:rPr>
  </w:style>
  <w:style w:type="character" w:customStyle="1" w:styleId="AsuntodelcomentarioCar">
    <w:name w:val="Asunto del comentario Car"/>
    <w:basedOn w:val="TextocomentarioCar"/>
    <w:link w:val="Asuntodelcomentario"/>
    <w:uiPriority w:val="99"/>
    <w:semiHidden/>
    <w:rsid w:val="006021B2"/>
    <w:rPr>
      <w:b/>
      <w:bCs/>
      <w:sz w:val="20"/>
      <w:szCs w:val="20"/>
    </w:rPr>
  </w:style>
  <w:style w:type="paragraph" w:styleId="Textodeglobo">
    <w:name w:val="Balloon Text"/>
    <w:basedOn w:val="Normal"/>
    <w:link w:val="TextodegloboCar"/>
    <w:uiPriority w:val="99"/>
    <w:semiHidden/>
    <w:unhideWhenUsed/>
    <w:rsid w:val="006021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21B2"/>
    <w:rPr>
      <w:rFonts w:ascii="Segoe UI" w:hAnsi="Segoe UI" w:cs="Segoe UI"/>
      <w:sz w:val="18"/>
      <w:szCs w:val="18"/>
    </w:rPr>
  </w:style>
  <w:style w:type="character" w:customStyle="1" w:styleId="MSGENFONTSTYLENAMETEMPLATEROLENUMBERMSGENFONTSTYLENAMEBYROLETEXT3">
    <w:name w:val="MSG_EN_FONT_STYLE_NAME_TEMPLATE_ROLE_NUMBER MSG_EN_FONT_STYLE_NAME_BY_ROLE_TEXT 3_"/>
    <w:basedOn w:val="Fuentedeprrafopredeter"/>
    <w:rsid w:val="00F56F2E"/>
    <w:rPr>
      <w:rFonts w:ascii="Arial" w:eastAsia="Arial" w:hAnsi="Arial" w:cs="Arial"/>
      <w:b w:val="0"/>
      <w:bCs w:val="0"/>
      <w:i w:val="0"/>
      <w:iCs w:val="0"/>
      <w:smallCaps w:val="0"/>
      <w:strike w:val="0"/>
      <w:sz w:val="17"/>
      <w:szCs w:val="17"/>
      <w:u w:val="none"/>
    </w:rPr>
  </w:style>
  <w:style w:type="character" w:customStyle="1" w:styleId="MSGENFONTSTYLENAMETEMPLATEROLENUMBERMSGENFONTSTYLENAMEBYROLETEXT3MSGENFONTSTYLEMODIFERNOTBOLDMSGENFONTSTYLEMODIFERNOTITALIC">
    <w:name w:val="MSG_EN_FONT_STYLE_NAME_TEMPLATE_ROLE_NUMBER MSG_EN_FONT_STYLE_NAME_BY_ROLE_TEXT 3 + MSG_EN_FONT_STYLE_MODIFER_NOT_BOLD;MSG_EN_FONT_STYLE_MODIFER_NOT_ITALIC"/>
    <w:basedOn w:val="MSGENFONTSTYLENAMETEMPLATEROLENUMBERMSGENFONTSTYLENAMEBYROLETEXT3"/>
    <w:rsid w:val="00F56F2E"/>
    <w:rPr>
      <w:rFonts w:ascii="Arial" w:eastAsia="Arial" w:hAnsi="Arial" w:cs="Arial"/>
      <w:b/>
      <w:bCs/>
      <w:i/>
      <w:iCs/>
      <w:smallCaps w:val="0"/>
      <w:strike w:val="0"/>
      <w:color w:val="000000"/>
      <w:spacing w:val="0"/>
      <w:w w:val="100"/>
      <w:position w:val="0"/>
      <w:sz w:val="17"/>
      <w:szCs w:val="17"/>
      <w:u w:val="none"/>
      <w:lang w:val="en-US"/>
    </w:rPr>
  </w:style>
  <w:style w:type="character" w:customStyle="1" w:styleId="MSGENFONTSTYLENAMETEMPLATEROLEMSGENFONTSTYLENAMEBYROLETEXTMSGENFONTSTYLEMODIFERBOLDMSGENFONTSTYLEMODIFERITALIC">
    <w:name w:val="MSG_EN_FONT_STYLE_NAME_TEMPLATE_ROLE MSG_EN_FONT_STYLE_NAME_BY_ROLE_TEXT + MSG_EN_FONT_STYLE_MODIFER_BOLD;MSG_EN_FONT_STYLE_MODIFER_ITALIC"/>
    <w:basedOn w:val="MSGENFONTSTYLENAMETEMPLATEROLEMSGENFONTSTYLENAMEBYROLETEXT"/>
    <w:rsid w:val="00F56F2E"/>
    <w:rPr>
      <w:rFonts w:ascii="Arial" w:eastAsia="Arial" w:hAnsi="Arial" w:cs="Arial"/>
      <w:b/>
      <w:bCs/>
      <w:i/>
      <w:iCs/>
      <w:smallCaps w:val="0"/>
      <w:strike w:val="0"/>
      <w:color w:val="000000"/>
      <w:spacing w:val="0"/>
      <w:w w:val="100"/>
      <w:position w:val="0"/>
      <w:sz w:val="17"/>
      <w:szCs w:val="17"/>
      <w:u w:val="none"/>
      <w:lang w:val="en-US"/>
    </w:rPr>
  </w:style>
  <w:style w:type="character" w:customStyle="1" w:styleId="MSGENFONTSTYLENAMETEMPLATEROLENUMBERMSGENFONTSTYLENAMEBYROLETEXT30">
    <w:name w:val="MSG_EN_FONT_STYLE_NAME_TEMPLATE_ROLE_NUMBER MSG_EN_FONT_STYLE_NAME_BY_ROLE_TEXT 3"/>
    <w:basedOn w:val="MSGENFONTSTYLENAMETEMPLATEROLENUMBERMSGENFONTSTYLENAMEBYROLETEXT3"/>
    <w:rsid w:val="00F56F2E"/>
    <w:rPr>
      <w:rFonts w:ascii="Arial" w:eastAsia="Arial" w:hAnsi="Arial" w:cs="Arial"/>
      <w:b w:val="0"/>
      <w:bCs w:val="0"/>
      <w:i w:val="0"/>
      <w:iCs w:val="0"/>
      <w:smallCaps w:val="0"/>
      <w:strike w:val="0"/>
      <w:color w:val="000000"/>
      <w:spacing w:val="0"/>
      <w:w w:val="100"/>
      <w:position w:val="0"/>
      <w:sz w:val="17"/>
      <w:szCs w:val="17"/>
      <w:u w:val="single"/>
      <w:lang w:val="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F56F2E"/>
    <w:rPr>
      <w:rFonts w:ascii="Arial" w:eastAsia="Arial" w:hAnsi="Arial" w:cs="Arial"/>
      <w:sz w:val="16"/>
      <w:szCs w:val="16"/>
      <w:shd w:val="clear" w:color="auto" w:fill="FFFFFF"/>
    </w:rPr>
  </w:style>
  <w:style w:type="character" w:customStyle="1" w:styleId="MSGENFONTSTYLENAMETEMPLATEROLENUMBERMSGENFONTSTYLENAMEBYROLETEXT4MSGENFONTSTYLEMODIFERSIZE85MSGENFONTSTYLEMODIFERBOLD">
    <w:name w:val="MSG_EN_FONT_STYLE_NAME_TEMPLATE_ROLE_NUMBER MSG_EN_FONT_STYLE_NAME_BY_ROLE_TEXT 4 + MSG_EN_FONT_STYLE_MODIFER_SIZE 8.5;MSG_EN_FONT_STYLE_MODIFER_BOLD"/>
    <w:basedOn w:val="MSGENFONTSTYLENAMETEMPLATEROLENUMBERMSGENFONTSTYLENAMEBYROLETEXT4"/>
    <w:rsid w:val="00F56F2E"/>
    <w:rPr>
      <w:rFonts w:ascii="Arial" w:eastAsia="Arial" w:hAnsi="Arial" w:cs="Arial"/>
      <w:b/>
      <w:bCs/>
      <w:color w:val="000000"/>
      <w:spacing w:val="0"/>
      <w:w w:val="100"/>
      <w:position w:val="0"/>
      <w:sz w:val="17"/>
      <w:szCs w:val="17"/>
      <w:shd w:val="clear" w:color="auto" w:fill="FFFFFF"/>
      <w:lang w:val="en-US"/>
    </w:rPr>
  </w:style>
  <w:style w:type="character" w:customStyle="1" w:styleId="MSGENFONTSTYLENAMETEMPLATEROLEMSGENFONTSTYLENAMEBYROLETEXTMSGENFONTSTYLEMODIFERSIZE8MSGENFONTSTYLEMODIFERBOLDMSGENFONTSTYLEMODIFERSMALLCAPSMSGENFONTSTYLEMODIFERSPACING0">
    <w:name w:val="MSG_EN_FONT_STYLE_NAME_TEMPLATE_ROLE MSG_EN_FONT_STYLE_NAME_BY_ROLE_TEXT + MSG_EN_FONT_STYLE_MODIFER_SIZE 8;MSG_EN_FONT_STYLE_MODIFER_BOLD;MSG_EN_FONT_STYLE_MODIFER_SMALL_CAPS;MSG_EN_FONT_STYLE_MODIFER_SPACING 0"/>
    <w:basedOn w:val="MSGENFONTSTYLENAMETEMPLATEROLEMSGENFONTSTYLENAMEBYROLETEXT"/>
    <w:rsid w:val="00F56F2E"/>
    <w:rPr>
      <w:rFonts w:ascii="Arial" w:eastAsia="Arial" w:hAnsi="Arial" w:cs="Arial"/>
      <w:b/>
      <w:bCs/>
      <w:i w:val="0"/>
      <w:iCs w:val="0"/>
      <w:smallCaps/>
      <w:strike w:val="0"/>
      <w:color w:val="1D1F1F"/>
      <w:spacing w:val="10"/>
      <w:w w:val="100"/>
      <w:position w:val="0"/>
      <w:sz w:val="16"/>
      <w:szCs w:val="16"/>
      <w:u w:val="none"/>
      <w:lang w:val="en-US"/>
    </w:rPr>
  </w:style>
  <w:style w:type="character" w:customStyle="1" w:styleId="MSGENFONTSTYLENAMETEMPLATEROLEMSGENFONTSTYLENAMEBYROLETEXTMSGENFONTSTYLEMODIFERITALIC">
    <w:name w:val="MSG_EN_FONT_STYLE_NAME_TEMPLATE_ROLE MSG_EN_FONT_STYLE_NAME_BY_ROLE_TEXT + MSG_EN_FONT_STYLE_MODIFER_ITALIC"/>
    <w:basedOn w:val="MSGENFONTSTYLENAMETEMPLATEROLEMSGENFONTSTYLENAMEBYROLETEXT"/>
    <w:rsid w:val="00F56F2E"/>
    <w:rPr>
      <w:rFonts w:ascii="Arial" w:eastAsia="Arial" w:hAnsi="Arial" w:cs="Arial"/>
      <w:b w:val="0"/>
      <w:bCs w:val="0"/>
      <w:i/>
      <w:iCs/>
      <w:smallCaps w:val="0"/>
      <w:strike w:val="0"/>
      <w:color w:val="1D1F1F"/>
      <w:spacing w:val="0"/>
      <w:w w:val="100"/>
      <w:position w:val="0"/>
      <w:sz w:val="17"/>
      <w:szCs w:val="17"/>
      <w:u w:val="single"/>
      <w:lang w:val="en-US"/>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F56F2E"/>
    <w:pPr>
      <w:widowControl w:val="0"/>
      <w:shd w:val="clear" w:color="auto" w:fill="FFFFFF"/>
      <w:spacing w:before="120" w:after="120" w:line="298" w:lineRule="exact"/>
      <w:jc w:val="both"/>
    </w:pPr>
    <w:rPr>
      <w:rFonts w:ascii="Arial" w:eastAsia="Arial" w:hAnsi="Arial" w:cs="Arial"/>
      <w:sz w:val="16"/>
      <w:szCs w:val="16"/>
    </w:rPr>
  </w:style>
  <w:style w:type="paragraph" w:customStyle="1" w:styleId="xmsonormal">
    <w:name w:val="x_msonormal"/>
    <w:basedOn w:val="Normal"/>
    <w:rsid w:val="00FE46E5"/>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ATit2">
    <w:name w:val="A Tit 2"/>
    <w:basedOn w:val="Normal"/>
    <w:qFormat/>
    <w:rsid w:val="00F7092B"/>
    <w:pPr>
      <w:spacing w:before="160" w:line="240" w:lineRule="auto"/>
      <w:jc w:val="center"/>
    </w:pPr>
    <w:rPr>
      <w:rFonts w:ascii="Raleway Light" w:hAnsi="Raleway Light"/>
      <w:b/>
      <w:szCs w:val="24"/>
      <w:lang w:val="es-ES_tradnl"/>
    </w:rPr>
  </w:style>
  <w:style w:type="character" w:customStyle="1" w:styleId="hit">
    <w:name w:val="hit"/>
    <w:basedOn w:val="Fuentedeprrafopredeter"/>
    <w:rsid w:val="001349C3"/>
  </w:style>
  <w:style w:type="paragraph" w:customStyle="1" w:styleId="Vietasnegrita">
    <w:name w:val="Viñetas negrita"/>
    <w:basedOn w:val="Prrafodelista"/>
    <w:qFormat/>
    <w:rsid w:val="006B4323"/>
    <w:pPr>
      <w:spacing w:before="240" w:after="120"/>
      <w:ind w:left="714" w:hanging="357"/>
      <w:jc w:val="both"/>
    </w:pPr>
    <w:rPr>
      <w:rFonts w:ascii="Raleway Light" w:eastAsia="Times New Roman" w:hAnsi="Raleway Light" w:cs="Times New Roman"/>
      <w:b/>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87A95-F55A-4C05-93EC-A1F9D3EEC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2849</TotalTime>
  <Pages>3</Pages>
  <Words>1322</Words>
  <Characters>7273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Arturo Guerrero</dc:creator>
  <cp:keywords/>
  <dc:description/>
  <cp:lastModifiedBy>Dr. Arturo Guerrero</cp:lastModifiedBy>
  <cp:revision>215</cp:revision>
  <dcterms:created xsi:type="dcterms:W3CDTF">2020-06-17T02:58:00Z</dcterms:created>
  <dcterms:modified xsi:type="dcterms:W3CDTF">2020-11-24T03:24:00Z</dcterms:modified>
</cp:coreProperties>
</file>